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F2" w:rsidRPr="003850C3" w:rsidRDefault="0073106E" w:rsidP="00F3578E">
      <w:pPr>
        <w:widowControl w:val="0"/>
        <w:autoSpaceDE w:val="0"/>
        <w:autoSpaceDN w:val="0"/>
        <w:adjustRightInd w:val="0"/>
        <w:ind w:left="-720"/>
        <w:jc w:val="center"/>
        <w:rPr>
          <w:b/>
          <w:bCs/>
          <w:sz w:val="32"/>
          <w:szCs w:val="32"/>
        </w:rPr>
      </w:pPr>
      <w:r w:rsidRPr="003850C3">
        <w:rPr>
          <w:b/>
          <w:bCs/>
          <w:sz w:val="32"/>
          <w:szCs w:val="32"/>
        </w:rPr>
        <w:t>И</w:t>
      </w:r>
      <w:r w:rsidR="001A7860" w:rsidRPr="003850C3">
        <w:rPr>
          <w:b/>
          <w:bCs/>
          <w:sz w:val="32"/>
          <w:szCs w:val="32"/>
        </w:rPr>
        <w:t>нформаци</w:t>
      </w:r>
      <w:r w:rsidRPr="003850C3">
        <w:rPr>
          <w:b/>
          <w:bCs/>
          <w:sz w:val="32"/>
          <w:szCs w:val="32"/>
        </w:rPr>
        <w:t xml:space="preserve">я </w:t>
      </w:r>
      <w:r w:rsidR="001A7860" w:rsidRPr="003850C3">
        <w:rPr>
          <w:b/>
          <w:bCs/>
          <w:sz w:val="32"/>
          <w:szCs w:val="32"/>
        </w:rPr>
        <w:t xml:space="preserve"> о практике достижения наилучш</w:t>
      </w:r>
      <w:r w:rsidRPr="003850C3">
        <w:rPr>
          <w:b/>
          <w:bCs/>
          <w:sz w:val="32"/>
          <w:szCs w:val="32"/>
        </w:rPr>
        <w:t>их</w:t>
      </w:r>
    </w:p>
    <w:p w:rsidR="0073106E" w:rsidRPr="003850C3" w:rsidRDefault="001A7860" w:rsidP="00F3578E">
      <w:pPr>
        <w:widowControl w:val="0"/>
        <w:autoSpaceDE w:val="0"/>
        <w:autoSpaceDN w:val="0"/>
        <w:adjustRightInd w:val="0"/>
        <w:ind w:left="-720"/>
        <w:jc w:val="center"/>
        <w:rPr>
          <w:b/>
          <w:bCs/>
          <w:sz w:val="32"/>
          <w:szCs w:val="32"/>
        </w:rPr>
      </w:pPr>
      <w:r w:rsidRPr="003850C3">
        <w:rPr>
          <w:b/>
          <w:bCs/>
          <w:sz w:val="32"/>
          <w:szCs w:val="32"/>
        </w:rPr>
        <w:t>значени</w:t>
      </w:r>
      <w:r w:rsidR="0073106E" w:rsidRPr="003850C3">
        <w:rPr>
          <w:b/>
          <w:bCs/>
          <w:sz w:val="32"/>
          <w:szCs w:val="32"/>
        </w:rPr>
        <w:t>й</w:t>
      </w:r>
      <w:r w:rsidRPr="003850C3">
        <w:rPr>
          <w:b/>
          <w:bCs/>
          <w:sz w:val="32"/>
          <w:szCs w:val="32"/>
        </w:rPr>
        <w:t xml:space="preserve"> показател</w:t>
      </w:r>
      <w:r w:rsidR="0073106E" w:rsidRPr="003850C3">
        <w:rPr>
          <w:b/>
          <w:bCs/>
          <w:sz w:val="32"/>
          <w:szCs w:val="32"/>
        </w:rPr>
        <w:t>ей</w:t>
      </w:r>
      <w:r w:rsidR="006233BA" w:rsidRPr="003850C3">
        <w:rPr>
          <w:b/>
          <w:bCs/>
          <w:sz w:val="32"/>
          <w:szCs w:val="32"/>
        </w:rPr>
        <w:t xml:space="preserve"> </w:t>
      </w:r>
      <w:r w:rsidRPr="003850C3">
        <w:rPr>
          <w:b/>
          <w:bCs/>
          <w:sz w:val="32"/>
          <w:szCs w:val="32"/>
        </w:rPr>
        <w:t>за 201</w:t>
      </w:r>
      <w:r w:rsidR="00EB6A43" w:rsidRPr="003850C3">
        <w:rPr>
          <w:b/>
          <w:bCs/>
          <w:sz w:val="32"/>
          <w:szCs w:val="32"/>
        </w:rPr>
        <w:t>8</w:t>
      </w:r>
      <w:r w:rsidRPr="003850C3">
        <w:rPr>
          <w:b/>
          <w:bCs/>
          <w:sz w:val="32"/>
          <w:szCs w:val="32"/>
        </w:rPr>
        <w:t xml:space="preserve"> год</w:t>
      </w:r>
    </w:p>
    <w:p w:rsidR="009E2072" w:rsidRPr="003850C3" w:rsidRDefault="009E2072" w:rsidP="00F3578E">
      <w:pPr>
        <w:widowControl w:val="0"/>
        <w:autoSpaceDE w:val="0"/>
        <w:autoSpaceDN w:val="0"/>
        <w:adjustRightInd w:val="0"/>
        <w:ind w:left="-720" w:firstLine="709"/>
        <w:jc w:val="center"/>
        <w:rPr>
          <w:bCs/>
          <w:sz w:val="28"/>
          <w:szCs w:val="28"/>
        </w:rPr>
      </w:pPr>
    </w:p>
    <w:p w:rsidR="00525901" w:rsidRPr="003850C3" w:rsidRDefault="00525901" w:rsidP="00525901">
      <w:pPr>
        <w:widowControl w:val="0"/>
        <w:autoSpaceDE w:val="0"/>
        <w:autoSpaceDN w:val="0"/>
        <w:adjustRightInd w:val="0"/>
        <w:jc w:val="center"/>
        <w:outlineLvl w:val="1"/>
        <w:rPr>
          <w:b/>
          <w:i/>
          <w:sz w:val="28"/>
          <w:szCs w:val="28"/>
        </w:rPr>
      </w:pPr>
      <w:r w:rsidRPr="003850C3">
        <w:rPr>
          <w:b/>
          <w:i/>
          <w:sz w:val="28"/>
          <w:szCs w:val="28"/>
        </w:rPr>
        <w:t>Показатель «Объем инвестиций в основной капитал (за исключением</w:t>
      </w:r>
    </w:p>
    <w:p w:rsidR="00525901" w:rsidRPr="003850C3" w:rsidRDefault="00525901" w:rsidP="00525901">
      <w:pPr>
        <w:widowControl w:val="0"/>
        <w:autoSpaceDE w:val="0"/>
        <w:autoSpaceDN w:val="0"/>
        <w:adjustRightInd w:val="0"/>
        <w:jc w:val="center"/>
        <w:rPr>
          <w:b/>
          <w:i/>
          <w:sz w:val="28"/>
          <w:szCs w:val="28"/>
        </w:rPr>
      </w:pPr>
      <w:r w:rsidRPr="003850C3">
        <w:rPr>
          <w:b/>
          <w:i/>
          <w:sz w:val="28"/>
          <w:szCs w:val="28"/>
        </w:rPr>
        <w:t xml:space="preserve">бюджетных средств) в расчете на одного жителя» </w:t>
      </w:r>
    </w:p>
    <w:p w:rsidR="00DF26D1" w:rsidRPr="003850C3" w:rsidRDefault="00DF26D1" w:rsidP="00DF26D1">
      <w:pPr>
        <w:autoSpaceDE w:val="0"/>
        <w:autoSpaceDN w:val="0"/>
        <w:ind w:firstLine="851"/>
        <w:jc w:val="both"/>
        <w:rPr>
          <w:sz w:val="28"/>
          <w:szCs w:val="28"/>
        </w:rPr>
      </w:pPr>
      <w:r w:rsidRPr="003850C3">
        <w:rPr>
          <w:sz w:val="28"/>
          <w:szCs w:val="28"/>
        </w:rPr>
        <w:t xml:space="preserve">Объем инвестиций в основной капитал (за исключением бюджетных средств) в расчете на одного жителя в 2018 году составил  3 513 476,0 руб. (2017 год – 3 714 069,0 руб.). </w:t>
      </w:r>
      <w:r w:rsidR="00F56723" w:rsidRPr="003850C3">
        <w:rPr>
          <w:sz w:val="28"/>
          <w:szCs w:val="28"/>
        </w:rPr>
        <w:t xml:space="preserve">Основную долю в структуре </w:t>
      </w:r>
      <w:r w:rsidRPr="003850C3">
        <w:rPr>
          <w:sz w:val="28"/>
          <w:szCs w:val="28"/>
        </w:rPr>
        <w:t xml:space="preserve">инвестиций - 99,9 % </w:t>
      </w:r>
      <w:r w:rsidR="00F56723" w:rsidRPr="003850C3">
        <w:rPr>
          <w:sz w:val="28"/>
          <w:szCs w:val="28"/>
        </w:rPr>
        <w:t xml:space="preserve">занимают </w:t>
      </w:r>
      <w:r w:rsidRPr="003850C3">
        <w:rPr>
          <w:sz w:val="28"/>
          <w:szCs w:val="28"/>
        </w:rPr>
        <w:t>собственны</w:t>
      </w:r>
      <w:r w:rsidR="00F56723" w:rsidRPr="003850C3">
        <w:rPr>
          <w:sz w:val="28"/>
          <w:szCs w:val="28"/>
        </w:rPr>
        <w:t>е</w:t>
      </w:r>
      <w:r w:rsidRPr="003850C3">
        <w:rPr>
          <w:sz w:val="28"/>
          <w:szCs w:val="28"/>
        </w:rPr>
        <w:t xml:space="preserve"> средств</w:t>
      </w:r>
      <w:r w:rsidR="00F56723" w:rsidRPr="003850C3">
        <w:rPr>
          <w:sz w:val="28"/>
          <w:szCs w:val="28"/>
        </w:rPr>
        <w:t>а</w:t>
      </w:r>
      <w:r w:rsidRPr="003850C3">
        <w:rPr>
          <w:sz w:val="28"/>
          <w:szCs w:val="28"/>
        </w:rPr>
        <w:t xml:space="preserve"> </w:t>
      </w:r>
      <w:r w:rsidR="00F56723" w:rsidRPr="003850C3">
        <w:rPr>
          <w:sz w:val="28"/>
          <w:szCs w:val="28"/>
        </w:rPr>
        <w:t>предприятий</w:t>
      </w:r>
      <w:r w:rsidRPr="003850C3">
        <w:rPr>
          <w:sz w:val="28"/>
          <w:szCs w:val="28"/>
        </w:rPr>
        <w:t>.</w:t>
      </w:r>
      <w:r w:rsidRPr="003850C3">
        <w:t xml:space="preserve"> </w:t>
      </w:r>
    </w:p>
    <w:p w:rsidR="00DF26D1" w:rsidRPr="003850C3" w:rsidRDefault="00DF26D1" w:rsidP="00DF26D1">
      <w:pPr>
        <w:autoSpaceDE w:val="0"/>
        <w:autoSpaceDN w:val="0"/>
        <w:ind w:firstLine="851"/>
        <w:jc w:val="both"/>
        <w:rPr>
          <w:sz w:val="28"/>
          <w:szCs w:val="28"/>
        </w:rPr>
      </w:pPr>
      <w:r w:rsidRPr="003850C3">
        <w:rPr>
          <w:rStyle w:val="a9"/>
          <w:b w:val="0"/>
          <w:sz w:val="28"/>
          <w:szCs w:val="28"/>
        </w:rPr>
        <w:t>Наибольший удельный вес в структуре инвестиций в разрезе видов экономической деятельности занимают инвестиции по виду экономической деятельности</w:t>
      </w:r>
      <w:r w:rsidRPr="003850C3">
        <w:rPr>
          <w:rStyle w:val="a9"/>
          <w:sz w:val="28"/>
          <w:szCs w:val="28"/>
        </w:rPr>
        <w:t xml:space="preserve"> </w:t>
      </w:r>
      <w:r w:rsidRPr="003850C3">
        <w:rPr>
          <w:sz w:val="28"/>
          <w:szCs w:val="28"/>
        </w:rPr>
        <w:t xml:space="preserve">«Добыча полезных ископаемых» – 99,4 %. Инвестиционные программы данной отрасли направлены на развитие и модернизацию производственных мощностей. </w:t>
      </w:r>
    </w:p>
    <w:p w:rsidR="00B714C5" w:rsidRPr="003850C3" w:rsidRDefault="00DF26D1" w:rsidP="00DF26D1">
      <w:pPr>
        <w:ind w:firstLine="851"/>
        <w:jc w:val="both"/>
        <w:rPr>
          <w:sz w:val="28"/>
          <w:szCs w:val="28"/>
        </w:rPr>
      </w:pPr>
      <w:r w:rsidRPr="003850C3">
        <w:rPr>
          <w:sz w:val="28"/>
          <w:szCs w:val="28"/>
        </w:rPr>
        <w:t xml:space="preserve">Приоритетным направлением инвестиционной политики Нижневартовского района является создание максимально комфортных условий для старта и ведения бизнеса на территории района, формирование эффективного сопровождения проектов. В первую очередь для инвесторов обеспечена открытость информации об инвестиционном потенциале территории. </w:t>
      </w:r>
    </w:p>
    <w:p w:rsidR="00DF26D1" w:rsidRPr="003850C3" w:rsidRDefault="00DF26D1" w:rsidP="00DF26D1">
      <w:pPr>
        <w:ind w:firstLine="851"/>
        <w:jc w:val="both"/>
        <w:rPr>
          <w:sz w:val="28"/>
          <w:szCs w:val="28"/>
        </w:rPr>
      </w:pPr>
      <w:r w:rsidRPr="003850C3">
        <w:rPr>
          <w:sz w:val="28"/>
          <w:szCs w:val="28"/>
        </w:rPr>
        <w:t xml:space="preserve">На официальном сайте муниципального образования </w:t>
      </w:r>
      <w:r w:rsidR="00B714C5" w:rsidRPr="003850C3">
        <w:rPr>
          <w:sz w:val="28"/>
          <w:szCs w:val="28"/>
        </w:rPr>
        <w:t>создан</w:t>
      </w:r>
      <w:r w:rsidRPr="003850C3">
        <w:rPr>
          <w:sz w:val="28"/>
          <w:szCs w:val="28"/>
        </w:rPr>
        <w:t xml:space="preserve"> инвестиционный портал Нижневартовского района, который является своеобразным путеводителем для деловых людей, потенциальных инвесторов, желающих установить экономические связи с районом. С целью оперативного решения вопросов, возникающих у инвесторов на инвестиционном портале муниципалитета создан канал прямой связи с властью, который дает возможность электронного обращения инвестора к главе района и ответственным должностным лицам администрации района. Так же на инвестиционном портале размещена информация об инвестиционных проектах, инвестиционных площадках, размещено обращение главы района к инвесторам и приглашение к сотрудничеству. Еженедельно обновляется новостная лента для инвесторов и предпринимателей. </w:t>
      </w:r>
    </w:p>
    <w:p w:rsidR="00DF26D1" w:rsidRPr="003850C3" w:rsidRDefault="00DF26D1" w:rsidP="00DF26D1">
      <w:pPr>
        <w:ind w:firstLine="851"/>
        <w:jc w:val="both"/>
        <w:rPr>
          <w:sz w:val="28"/>
          <w:szCs w:val="28"/>
        </w:rPr>
      </w:pPr>
      <w:r w:rsidRPr="003850C3">
        <w:rPr>
          <w:sz w:val="28"/>
          <w:szCs w:val="28"/>
        </w:rPr>
        <w:t>Для создания благоприятного инвестиционного климата в Нижневартовском районе сформирован реестр из 34 инвестиционных, приоритетных социально-значимых проектов, общей инвестиционной емкостью более 3,8 миллиарда рублей, из них - 13 проектов на сумму более 1 млрд. руб. реализуются за счет собственных средств инвесторов. Наибольшая доля проектов – 46,2% в сфере сельского хозяйства, 30,7% - в пищевой промышленности, 15,4% - в строительстве жилья, 7,7% - в лесопромышленном комплексе. За 2018 год реализовано 6 инвестиционных проектов на общую сумму более 375 млн. рублей.</w:t>
      </w:r>
    </w:p>
    <w:p w:rsidR="00DF26D1" w:rsidRPr="003850C3" w:rsidRDefault="00DF26D1" w:rsidP="00525901">
      <w:pPr>
        <w:ind w:left="-142" w:firstLine="851"/>
        <w:jc w:val="both"/>
        <w:rPr>
          <w:sz w:val="28"/>
          <w:szCs w:val="28"/>
        </w:rPr>
      </w:pPr>
    </w:p>
    <w:p w:rsidR="009A30C0" w:rsidRPr="003850C3" w:rsidRDefault="009A30C0" w:rsidP="009A30C0">
      <w:pPr>
        <w:ind w:left="-142" w:firstLine="851"/>
        <w:jc w:val="center"/>
        <w:rPr>
          <w:b/>
          <w:i/>
          <w:sz w:val="28"/>
          <w:szCs w:val="28"/>
        </w:rPr>
      </w:pPr>
      <w:r w:rsidRPr="003850C3">
        <w:rPr>
          <w:b/>
          <w:i/>
          <w:sz w:val="28"/>
          <w:szCs w:val="28"/>
        </w:rPr>
        <w:t>Показатель «Для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54DEC" w:rsidRPr="003850C3" w:rsidRDefault="0017061C" w:rsidP="00754DEC">
      <w:pPr>
        <w:ind w:left="-142" w:firstLine="851"/>
        <w:jc w:val="both"/>
        <w:rPr>
          <w:sz w:val="28"/>
          <w:szCs w:val="28"/>
        </w:rPr>
      </w:pPr>
      <w:r w:rsidRPr="003850C3">
        <w:rPr>
          <w:sz w:val="28"/>
          <w:szCs w:val="28"/>
        </w:rPr>
        <w:t>По данным Единого реестра субъектов малого и среднего предпринимательства на 01.01.2019 н</w:t>
      </w:r>
      <w:r w:rsidR="00BD1CF2" w:rsidRPr="003850C3">
        <w:rPr>
          <w:sz w:val="28"/>
          <w:szCs w:val="28"/>
        </w:rPr>
        <w:t>а территории района зарегистрировано 880 субъектов малого и среднего предпринимательства</w:t>
      </w:r>
      <w:r w:rsidRPr="003850C3">
        <w:rPr>
          <w:sz w:val="28"/>
          <w:szCs w:val="28"/>
        </w:rPr>
        <w:t>, из них 5</w:t>
      </w:r>
      <w:r w:rsidR="00754DEC" w:rsidRPr="003850C3">
        <w:rPr>
          <w:sz w:val="28"/>
          <w:szCs w:val="28"/>
        </w:rPr>
        <w:t>60</w:t>
      </w:r>
      <w:r w:rsidRPr="003850C3">
        <w:rPr>
          <w:sz w:val="28"/>
          <w:szCs w:val="28"/>
        </w:rPr>
        <w:t xml:space="preserve"> - индивидуальных предпринимателей.</w:t>
      </w:r>
      <w:r w:rsidR="00754DEC" w:rsidRPr="003850C3">
        <w:rPr>
          <w:sz w:val="28"/>
          <w:szCs w:val="28"/>
        </w:rPr>
        <w:t xml:space="preserve"> </w:t>
      </w:r>
    </w:p>
    <w:p w:rsidR="00754DEC" w:rsidRPr="003850C3" w:rsidRDefault="00BB625B" w:rsidP="00754DEC">
      <w:pPr>
        <w:ind w:left="-142" w:firstLine="851"/>
        <w:jc w:val="both"/>
        <w:rPr>
          <w:sz w:val="28"/>
          <w:szCs w:val="28"/>
        </w:rPr>
      </w:pPr>
      <w:r w:rsidRPr="003850C3">
        <w:rPr>
          <w:sz w:val="28"/>
          <w:szCs w:val="28"/>
        </w:rPr>
        <w:t>В 2018 году о</w:t>
      </w:r>
      <w:r w:rsidR="00754DEC" w:rsidRPr="003850C3">
        <w:rPr>
          <w:sz w:val="28"/>
          <w:szCs w:val="28"/>
        </w:rPr>
        <w:t xml:space="preserve">тделом местной промышленности и сельского хозяйства </w:t>
      </w:r>
      <w:r w:rsidRPr="003850C3">
        <w:rPr>
          <w:sz w:val="28"/>
          <w:szCs w:val="28"/>
        </w:rPr>
        <w:t xml:space="preserve">администрации района </w:t>
      </w:r>
      <w:r w:rsidR="00754DEC" w:rsidRPr="003850C3">
        <w:rPr>
          <w:sz w:val="28"/>
          <w:szCs w:val="28"/>
        </w:rPr>
        <w:t>проведен мониторинг среднесписочной численности работников (без внешних совместителей) малых и средних предприятий.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оценке администрации района в 2018 году составила 8,2% (2017 год – 8,0%).</w:t>
      </w:r>
    </w:p>
    <w:p w:rsidR="0017061C" w:rsidRPr="003850C3" w:rsidRDefault="00754DEC" w:rsidP="00754DEC">
      <w:pPr>
        <w:ind w:left="-142" w:firstLine="851"/>
        <w:jc w:val="both"/>
        <w:rPr>
          <w:sz w:val="28"/>
          <w:szCs w:val="28"/>
        </w:rPr>
      </w:pPr>
      <w:r w:rsidRPr="003850C3">
        <w:rPr>
          <w:sz w:val="28"/>
          <w:szCs w:val="28"/>
        </w:rPr>
        <w:t xml:space="preserve">Развитию малого и среднего предпринимательства на территории района способствует реализация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 </w:t>
      </w:r>
      <w:r w:rsidR="0017061C" w:rsidRPr="003850C3">
        <w:rPr>
          <w:sz w:val="28"/>
          <w:szCs w:val="28"/>
        </w:rPr>
        <w:t>Программа включает в себя широкий спектр направлений, среди которых приоритетное значение имеют формирование механизма финан</w:t>
      </w:r>
      <w:r w:rsidR="0017061C" w:rsidRPr="003850C3">
        <w:rPr>
          <w:bCs/>
          <w:color w:val="000000"/>
          <w:sz w:val="28"/>
          <w:szCs w:val="28"/>
        </w:rPr>
        <w:t>сово-кредитной и имущественной поддержки представителей малого и среднего предпринимательства,</w:t>
      </w:r>
      <w:r w:rsidR="0017061C" w:rsidRPr="003850C3">
        <w:rPr>
          <w:sz w:val="28"/>
          <w:szCs w:val="28"/>
        </w:rPr>
        <w:t xml:space="preserve"> развитие молодежного предпринимательства, финансовая и грантовая поддержка социального предпринимательства, грантовая поддержка начинающих предпринимателей, </w:t>
      </w:r>
      <w:r w:rsidR="0017061C" w:rsidRPr="003850C3">
        <w:rPr>
          <w:bCs/>
          <w:color w:val="000000"/>
          <w:sz w:val="28"/>
          <w:szCs w:val="28"/>
        </w:rPr>
        <w:t xml:space="preserve">создание условий для развития быстровозводимого домостроения, переработки </w:t>
      </w:r>
      <w:r w:rsidR="0017061C" w:rsidRPr="003850C3">
        <w:rPr>
          <w:sz w:val="28"/>
          <w:szCs w:val="28"/>
        </w:rPr>
        <w:t>дикоросов, рыбодобычи, этнотуризма.</w:t>
      </w:r>
    </w:p>
    <w:p w:rsidR="0017061C" w:rsidRPr="003850C3" w:rsidRDefault="00BB625B" w:rsidP="00E95C95">
      <w:pPr>
        <w:ind w:firstLine="709"/>
        <w:jc w:val="both"/>
        <w:rPr>
          <w:szCs w:val="28"/>
        </w:rPr>
      </w:pPr>
      <w:r w:rsidRPr="003850C3">
        <w:rPr>
          <w:sz w:val="28"/>
          <w:szCs w:val="28"/>
        </w:rPr>
        <w:t xml:space="preserve"> </w:t>
      </w:r>
    </w:p>
    <w:p w:rsidR="00BB625B" w:rsidRPr="003850C3" w:rsidRDefault="00BB625B" w:rsidP="00BB625B">
      <w:pPr>
        <w:autoSpaceDE w:val="0"/>
        <w:autoSpaceDN w:val="0"/>
        <w:adjustRightInd w:val="0"/>
        <w:ind w:firstLine="851"/>
        <w:jc w:val="center"/>
        <w:rPr>
          <w:b/>
          <w:i/>
          <w:sz w:val="28"/>
          <w:szCs w:val="28"/>
        </w:rPr>
      </w:pPr>
      <w:r w:rsidRPr="003850C3">
        <w:rPr>
          <w:b/>
          <w:i/>
          <w:sz w:val="28"/>
          <w:szCs w:val="28"/>
        </w:rPr>
        <w:t>Показатель «</w:t>
      </w:r>
      <w:r w:rsidR="00E95C95" w:rsidRPr="003850C3">
        <w:rPr>
          <w:b/>
          <w:i/>
          <w:sz w:val="28"/>
          <w:szCs w:val="28"/>
        </w:rPr>
        <w:t>Доля прибыльных сельскохозяйственных организаций в общем их числе</w:t>
      </w:r>
      <w:r w:rsidRPr="003850C3">
        <w:rPr>
          <w:b/>
          <w:i/>
          <w:sz w:val="28"/>
          <w:szCs w:val="28"/>
        </w:rPr>
        <w:t>»</w:t>
      </w:r>
    </w:p>
    <w:p w:rsidR="00096871" w:rsidRPr="003850C3" w:rsidRDefault="002668DB" w:rsidP="00096871">
      <w:pPr>
        <w:autoSpaceDE w:val="0"/>
        <w:autoSpaceDN w:val="0"/>
        <w:adjustRightInd w:val="0"/>
        <w:ind w:firstLine="851"/>
        <w:jc w:val="both"/>
        <w:rPr>
          <w:sz w:val="28"/>
          <w:szCs w:val="28"/>
        </w:rPr>
      </w:pPr>
      <w:r w:rsidRPr="003850C3">
        <w:rPr>
          <w:sz w:val="28"/>
          <w:szCs w:val="28"/>
        </w:rPr>
        <w:t xml:space="preserve">В 2018 году доля прибыльных сельскохозяйственных организаций составила 100%. </w:t>
      </w:r>
      <w:r w:rsidR="00096871" w:rsidRPr="003850C3">
        <w:rPr>
          <w:sz w:val="28"/>
          <w:szCs w:val="28"/>
        </w:rPr>
        <w:t>Данные по этому показателю рассчитываются по сельскохозяйственным организациям, являющимися получателями мер государственной поддержки.</w:t>
      </w:r>
    </w:p>
    <w:p w:rsidR="00096871" w:rsidRPr="003850C3" w:rsidRDefault="00096871" w:rsidP="00E95C95">
      <w:pPr>
        <w:autoSpaceDE w:val="0"/>
        <w:autoSpaceDN w:val="0"/>
        <w:adjustRightInd w:val="0"/>
        <w:ind w:firstLine="851"/>
        <w:jc w:val="both"/>
        <w:rPr>
          <w:sz w:val="28"/>
          <w:szCs w:val="28"/>
        </w:rPr>
      </w:pPr>
      <w:r w:rsidRPr="003850C3">
        <w:rPr>
          <w:sz w:val="28"/>
          <w:szCs w:val="28"/>
        </w:rPr>
        <w:t xml:space="preserve">Крестьянскому фермерскому хозяйству "Мардер" в соответствии с Соглашением с Департаментом промышленности ХМАО-Югры выделен грант в форме субсидии из федерального и окружного бюджетов на развитие семейной животноводческой фермы по проекту «Строительство коровника с привязным содержанием на 70 скотомест». </w:t>
      </w:r>
      <w:r w:rsidR="00F91ADC" w:rsidRPr="003850C3">
        <w:rPr>
          <w:sz w:val="28"/>
          <w:szCs w:val="28"/>
        </w:rPr>
        <w:t xml:space="preserve">По итогам 2018 года с учетом мер государственной и муниципальной поддержки </w:t>
      </w:r>
      <w:r w:rsidR="0026455F" w:rsidRPr="003850C3">
        <w:rPr>
          <w:sz w:val="28"/>
          <w:szCs w:val="28"/>
        </w:rPr>
        <w:t xml:space="preserve">крестьянское фермерское хозяйство </w:t>
      </w:r>
      <w:r w:rsidR="00BB625B" w:rsidRPr="003850C3">
        <w:rPr>
          <w:sz w:val="28"/>
          <w:szCs w:val="28"/>
        </w:rPr>
        <w:t>"Мардер" является прибыльной организацией</w:t>
      </w:r>
      <w:r w:rsidR="00F91ADC" w:rsidRPr="003850C3">
        <w:rPr>
          <w:sz w:val="28"/>
          <w:szCs w:val="28"/>
        </w:rPr>
        <w:t xml:space="preserve">. </w:t>
      </w:r>
    </w:p>
    <w:p w:rsidR="00F91ADC" w:rsidRPr="003850C3" w:rsidRDefault="00BB625B" w:rsidP="00E95C95">
      <w:pPr>
        <w:autoSpaceDE w:val="0"/>
        <w:autoSpaceDN w:val="0"/>
        <w:adjustRightInd w:val="0"/>
        <w:ind w:firstLine="851"/>
        <w:jc w:val="both"/>
        <w:rPr>
          <w:color w:val="000000"/>
          <w:szCs w:val="28"/>
        </w:rPr>
      </w:pPr>
      <w:r w:rsidRPr="003850C3">
        <w:rPr>
          <w:sz w:val="28"/>
          <w:szCs w:val="28"/>
        </w:rPr>
        <w:t xml:space="preserve"> </w:t>
      </w:r>
    </w:p>
    <w:p w:rsidR="00AE7C95" w:rsidRPr="003850C3" w:rsidRDefault="00AE7C95" w:rsidP="00AE7C95">
      <w:pPr>
        <w:ind w:firstLine="709"/>
        <w:jc w:val="center"/>
        <w:rPr>
          <w:b/>
          <w:i/>
          <w:sz w:val="28"/>
          <w:szCs w:val="28"/>
        </w:rPr>
      </w:pPr>
      <w:r w:rsidRPr="003850C3">
        <w:rPr>
          <w:b/>
          <w:i/>
          <w:sz w:val="28"/>
          <w:szCs w:val="28"/>
        </w:rPr>
        <w:t>Показатель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AE7C95" w:rsidRPr="003850C3" w:rsidRDefault="00AE7C95" w:rsidP="00AE7C95">
      <w:pPr>
        <w:ind w:firstLine="709"/>
        <w:jc w:val="both"/>
        <w:rPr>
          <w:sz w:val="28"/>
          <w:szCs w:val="28"/>
        </w:rPr>
      </w:pPr>
      <w:r w:rsidRPr="003850C3">
        <w:rPr>
          <w:sz w:val="28"/>
          <w:szCs w:val="28"/>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составляет </w:t>
      </w:r>
      <w:r w:rsidR="00882DDF" w:rsidRPr="003850C3">
        <w:rPr>
          <w:sz w:val="28"/>
          <w:szCs w:val="28"/>
        </w:rPr>
        <w:t>86,4</w:t>
      </w:r>
      <w:r w:rsidRPr="003850C3">
        <w:rPr>
          <w:sz w:val="28"/>
          <w:szCs w:val="28"/>
        </w:rPr>
        <w:t>%  (201</w:t>
      </w:r>
      <w:r w:rsidR="009C5A61" w:rsidRPr="003850C3">
        <w:rPr>
          <w:sz w:val="28"/>
          <w:szCs w:val="28"/>
        </w:rPr>
        <w:t>7</w:t>
      </w:r>
      <w:r w:rsidRPr="003850C3">
        <w:rPr>
          <w:sz w:val="28"/>
          <w:szCs w:val="28"/>
        </w:rPr>
        <w:t xml:space="preserve"> год – </w:t>
      </w:r>
      <w:r w:rsidR="00882DDF" w:rsidRPr="003850C3">
        <w:rPr>
          <w:sz w:val="28"/>
          <w:szCs w:val="28"/>
        </w:rPr>
        <w:t>83,8</w:t>
      </w:r>
      <w:r w:rsidRPr="003850C3">
        <w:rPr>
          <w:sz w:val="28"/>
          <w:szCs w:val="28"/>
        </w:rPr>
        <w:t xml:space="preserve">%). </w:t>
      </w:r>
    </w:p>
    <w:p w:rsidR="00AE7C95" w:rsidRPr="003850C3" w:rsidRDefault="00AE7C95" w:rsidP="00AE7C95">
      <w:pPr>
        <w:ind w:firstLine="709"/>
        <w:jc w:val="both"/>
        <w:rPr>
          <w:sz w:val="28"/>
          <w:szCs w:val="28"/>
        </w:rPr>
      </w:pPr>
      <w:r w:rsidRPr="003850C3">
        <w:rPr>
          <w:sz w:val="28"/>
          <w:szCs w:val="28"/>
        </w:rPr>
        <w:t>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обеспечено за счет функционирования 1</w:t>
      </w:r>
      <w:r w:rsidR="00882DDF" w:rsidRPr="003850C3">
        <w:rPr>
          <w:sz w:val="28"/>
          <w:szCs w:val="28"/>
        </w:rPr>
        <w:t>8</w:t>
      </w:r>
      <w:r w:rsidRPr="003850C3">
        <w:rPr>
          <w:sz w:val="28"/>
          <w:szCs w:val="28"/>
        </w:rPr>
        <w:t xml:space="preserve"> групп кратковременного пребывания с охватом 3</w:t>
      </w:r>
      <w:r w:rsidR="00882DDF" w:rsidRPr="003850C3">
        <w:rPr>
          <w:sz w:val="28"/>
          <w:szCs w:val="28"/>
        </w:rPr>
        <w:t>15</w:t>
      </w:r>
      <w:r w:rsidRPr="003850C3">
        <w:rPr>
          <w:sz w:val="28"/>
          <w:szCs w:val="28"/>
        </w:rPr>
        <w:t xml:space="preserve"> человек</w:t>
      </w:r>
      <w:r w:rsidR="00882DDF" w:rsidRPr="003850C3">
        <w:rPr>
          <w:sz w:val="28"/>
          <w:szCs w:val="28"/>
        </w:rPr>
        <w:t>, за счет</w:t>
      </w:r>
      <w:r w:rsidRPr="003850C3">
        <w:rPr>
          <w:sz w:val="28"/>
          <w:szCs w:val="28"/>
        </w:rPr>
        <w:t xml:space="preserve"> открыти</w:t>
      </w:r>
      <w:r w:rsidR="00882DDF" w:rsidRPr="003850C3">
        <w:rPr>
          <w:sz w:val="28"/>
          <w:szCs w:val="28"/>
        </w:rPr>
        <w:t>я</w:t>
      </w:r>
      <w:r w:rsidRPr="003850C3">
        <w:rPr>
          <w:sz w:val="28"/>
          <w:szCs w:val="28"/>
        </w:rPr>
        <w:t xml:space="preserve"> 2 групп </w:t>
      </w:r>
      <w:r w:rsidR="00882DDF" w:rsidRPr="003850C3">
        <w:rPr>
          <w:sz w:val="28"/>
          <w:szCs w:val="28"/>
        </w:rPr>
        <w:t xml:space="preserve">с 01.09.2018 </w:t>
      </w:r>
      <w:r w:rsidRPr="003850C3">
        <w:rPr>
          <w:sz w:val="28"/>
          <w:szCs w:val="28"/>
        </w:rPr>
        <w:t>для детей раннего дошкольного возраста</w:t>
      </w:r>
      <w:r w:rsidR="00882DDF" w:rsidRPr="003850C3">
        <w:rPr>
          <w:sz w:val="28"/>
          <w:szCs w:val="28"/>
        </w:rPr>
        <w:t xml:space="preserve"> в МБОУ «Излучинская общеобразовательная начальная школа»</w:t>
      </w:r>
      <w:r w:rsidRPr="003850C3">
        <w:rPr>
          <w:sz w:val="28"/>
          <w:szCs w:val="28"/>
        </w:rPr>
        <w:t>.</w:t>
      </w:r>
    </w:p>
    <w:p w:rsidR="00525901" w:rsidRPr="003850C3" w:rsidRDefault="00525901" w:rsidP="00525901">
      <w:pPr>
        <w:ind w:firstLine="720"/>
        <w:jc w:val="both"/>
        <w:rPr>
          <w:sz w:val="28"/>
          <w:szCs w:val="28"/>
        </w:rPr>
      </w:pPr>
    </w:p>
    <w:p w:rsidR="00525901" w:rsidRPr="003850C3" w:rsidRDefault="00525901" w:rsidP="00AE7C95">
      <w:pPr>
        <w:widowControl w:val="0"/>
        <w:autoSpaceDE w:val="0"/>
        <w:autoSpaceDN w:val="0"/>
        <w:adjustRightInd w:val="0"/>
        <w:jc w:val="center"/>
        <w:outlineLvl w:val="1"/>
        <w:rPr>
          <w:b/>
          <w:i/>
          <w:sz w:val="28"/>
          <w:szCs w:val="28"/>
        </w:rPr>
      </w:pPr>
      <w:r w:rsidRPr="003850C3">
        <w:rPr>
          <w:b/>
          <w:i/>
          <w:sz w:val="28"/>
          <w:szCs w:val="28"/>
        </w:rPr>
        <w:t>Показатель «Доля детей в возрасте 1 - 6 лет, состоящих на учете</w:t>
      </w:r>
    </w:p>
    <w:p w:rsidR="00525901" w:rsidRPr="003850C3" w:rsidRDefault="00525901" w:rsidP="00AE7C95">
      <w:pPr>
        <w:widowControl w:val="0"/>
        <w:autoSpaceDE w:val="0"/>
        <w:autoSpaceDN w:val="0"/>
        <w:adjustRightInd w:val="0"/>
        <w:jc w:val="center"/>
        <w:rPr>
          <w:b/>
          <w:i/>
          <w:sz w:val="28"/>
          <w:szCs w:val="28"/>
        </w:rPr>
      </w:pPr>
      <w:r w:rsidRPr="003850C3">
        <w:rPr>
          <w:b/>
          <w:i/>
          <w:sz w:val="28"/>
          <w:szCs w:val="28"/>
        </w:rPr>
        <w:t>для определения в муниципальные дошкольные образовательные</w:t>
      </w:r>
    </w:p>
    <w:p w:rsidR="00E95398" w:rsidRPr="003850C3" w:rsidRDefault="00525901" w:rsidP="00AE7C95">
      <w:pPr>
        <w:widowControl w:val="0"/>
        <w:autoSpaceDE w:val="0"/>
        <w:autoSpaceDN w:val="0"/>
        <w:adjustRightInd w:val="0"/>
        <w:jc w:val="center"/>
        <w:rPr>
          <w:rFonts w:ascii="Calibri" w:hAnsi="Calibri" w:cs="Calibri"/>
        </w:rPr>
      </w:pPr>
      <w:r w:rsidRPr="003850C3">
        <w:rPr>
          <w:b/>
          <w:i/>
          <w:sz w:val="28"/>
          <w:szCs w:val="28"/>
        </w:rPr>
        <w:t>учреждения, в общей численности детей в возрасте 1 - 6 лет»</w:t>
      </w:r>
    </w:p>
    <w:p w:rsidR="00525901" w:rsidRPr="003850C3" w:rsidRDefault="00525901" w:rsidP="00AE7C95">
      <w:pPr>
        <w:shd w:val="clear" w:color="auto" w:fill="FFFFFF"/>
        <w:ind w:firstLine="709"/>
        <w:jc w:val="both"/>
        <w:rPr>
          <w:sz w:val="28"/>
          <w:szCs w:val="28"/>
        </w:rPr>
      </w:pPr>
      <w:r w:rsidRPr="003850C3">
        <w:rPr>
          <w:sz w:val="28"/>
          <w:szCs w:val="28"/>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за 201</w:t>
      </w:r>
      <w:r w:rsidR="00E95398" w:rsidRPr="003850C3">
        <w:rPr>
          <w:sz w:val="28"/>
          <w:szCs w:val="28"/>
        </w:rPr>
        <w:t>8</w:t>
      </w:r>
      <w:r w:rsidRPr="003850C3">
        <w:rPr>
          <w:sz w:val="28"/>
          <w:szCs w:val="28"/>
        </w:rPr>
        <w:t xml:space="preserve"> год составила 0 % (201</w:t>
      </w:r>
      <w:r w:rsidR="00F27193" w:rsidRPr="003850C3">
        <w:rPr>
          <w:sz w:val="28"/>
          <w:szCs w:val="28"/>
        </w:rPr>
        <w:t>7</w:t>
      </w:r>
      <w:r w:rsidRPr="003850C3">
        <w:rPr>
          <w:sz w:val="28"/>
          <w:szCs w:val="28"/>
        </w:rPr>
        <w:t xml:space="preserve"> год – 0%).</w:t>
      </w:r>
    </w:p>
    <w:p w:rsidR="00362E9A" w:rsidRPr="003850C3" w:rsidRDefault="00525901" w:rsidP="00E95398">
      <w:pPr>
        <w:ind w:right="-1" w:firstLine="709"/>
        <w:jc w:val="both"/>
        <w:rPr>
          <w:sz w:val="28"/>
          <w:szCs w:val="28"/>
        </w:rPr>
      </w:pPr>
      <w:r w:rsidRPr="003850C3">
        <w:rPr>
          <w:sz w:val="28"/>
          <w:szCs w:val="28"/>
        </w:rPr>
        <w:t>Дети в возрасте 1-6 лет, стоящие на учете для определения в муниципальные дошкольные образовательные учреждения, на территории района отсутствуют.</w:t>
      </w:r>
    </w:p>
    <w:p w:rsidR="00362E9A" w:rsidRPr="003850C3" w:rsidRDefault="00362E9A" w:rsidP="00AE7C95">
      <w:pPr>
        <w:ind w:firstLine="709"/>
        <w:jc w:val="both"/>
        <w:rPr>
          <w:sz w:val="28"/>
          <w:szCs w:val="28"/>
        </w:rPr>
      </w:pPr>
    </w:p>
    <w:p w:rsidR="00362E9A" w:rsidRPr="003850C3" w:rsidRDefault="00362E9A" w:rsidP="00362E9A">
      <w:pPr>
        <w:ind w:firstLine="709"/>
        <w:jc w:val="center"/>
        <w:rPr>
          <w:b/>
          <w:sz w:val="28"/>
          <w:szCs w:val="28"/>
        </w:rPr>
      </w:pPr>
      <w:r w:rsidRPr="003850C3">
        <w:rPr>
          <w:b/>
          <w:i/>
          <w:sz w:val="28"/>
          <w:szCs w:val="28"/>
        </w:rPr>
        <w:t>Показатель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362E9A" w:rsidRPr="003850C3" w:rsidRDefault="00362E9A" w:rsidP="00A231E3">
      <w:pPr>
        <w:ind w:firstLine="709"/>
        <w:jc w:val="both"/>
        <w:rPr>
          <w:sz w:val="28"/>
          <w:szCs w:val="28"/>
        </w:rPr>
      </w:pPr>
      <w:r w:rsidRPr="003850C3">
        <w:rPr>
          <w:sz w:val="28"/>
          <w:szCs w:val="28"/>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составляет 0% (201</w:t>
      </w:r>
      <w:r w:rsidR="00DC0DA9" w:rsidRPr="003850C3">
        <w:rPr>
          <w:sz w:val="28"/>
          <w:szCs w:val="28"/>
        </w:rPr>
        <w:t>7</w:t>
      </w:r>
      <w:r w:rsidRPr="003850C3">
        <w:rPr>
          <w:sz w:val="28"/>
          <w:szCs w:val="28"/>
        </w:rPr>
        <w:t xml:space="preserve"> год – 0%). </w:t>
      </w:r>
    </w:p>
    <w:p w:rsidR="0005435A" w:rsidRPr="003850C3" w:rsidRDefault="00362E9A" w:rsidP="0005435A">
      <w:pPr>
        <w:ind w:firstLine="709"/>
        <w:jc w:val="both"/>
        <w:rPr>
          <w:sz w:val="28"/>
          <w:szCs w:val="28"/>
        </w:rPr>
      </w:pPr>
      <w:r w:rsidRPr="003850C3">
        <w:rPr>
          <w:sz w:val="28"/>
          <w:szCs w:val="28"/>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r w:rsidR="0005435A" w:rsidRPr="003850C3">
        <w:rPr>
          <w:sz w:val="28"/>
          <w:szCs w:val="28"/>
        </w:rPr>
        <w:t xml:space="preserve"> В рамках реализации программы «Развитие образования в Нижневартовском районе на 2018–2025 годы и на период до 2030 года» регулярно выполняются капитальные и текущие ремонты учреждений образования в Нижневартовском районе.</w:t>
      </w:r>
    </w:p>
    <w:p w:rsidR="00320859" w:rsidRPr="003850C3" w:rsidRDefault="00320859" w:rsidP="00A231E3">
      <w:pPr>
        <w:ind w:firstLine="709"/>
        <w:jc w:val="both"/>
        <w:rPr>
          <w:sz w:val="28"/>
          <w:szCs w:val="28"/>
        </w:rPr>
      </w:pPr>
    </w:p>
    <w:p w:rsidR="00320859" w:rsidRPr="003850C3" w:rsidRDefault="00320859" w:rsidP="00362E9A">
      <w:pPr>
        <w:ind w:firstLine="709"/>
        <w:jc w:val="both"/>
        <w:rPr>
          <w:sz w:val="28"/>
          <w:szCs w:val="28"/>
        </w:rPr>
      </w:pPr>
    </w:p>
    <w:p w:rsidR="00320859" w:rsidRPr="003850C3" w:rsidRDefault="00320859" w:rsidP="00320859">
      <w:pPr>
        <w:ind w:firstLine="709"/>
        <w:jc w:val="center"/>
        <w:rPr>
          <w:b/>
          <w:sz w:val="28"/>
          <w:szCs w:val="28"/>
        </w:rPr>
      </w:pPr>
      <w:r w:rsidRPr="003850C3">
        <w:rPr>
          <w:b/>
          <w:i/>
          <w:sz w:val="28"/>
          <w:szCs w:val="28"/>
        </w:rPr>
        <w:t>Показатель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320859" w:rsidRPr="003850C3" w:rsidRDefault="00320859" w:rsidP="00320859">
      <w:pPr>
        <w:ind w:firstLine="709"/>
        <w:jc w:val="both"/>
        <w:rPr>
          <w:sz w:val="28"/>
          <w:szCs w:val="28"/>
        </w:rPr>
      </w:pPr>
      <w:r w:rsidRPr="003850C3">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составляет 0% (201</w:t>
      </w:r>
      <w:r w:rsidR="00DC0DA9" w:rsidRPr="003850C3">
        <w:rPr>
          <w:sz w:val="28"/>
          <w:szCs w:val="28"/>
        </w:rPr>
        <w:t>7</w:t>
      </w:r>
      <w:r w:rsidRPr="003850C3">
        <w:rPr>
          <w:sz w:val="28"/>
          <w:szCs w:val="28"/>
        </w:rPr>
        <w:t xml:space="preserve"> – 0 %). Стабильность показателя сохраняется за счет повышения качества образования, работы с обучающимися по индивидуальным образовательным маршрутам.</w:t>
      </w:r>
    </w:p>
    <w:p w:rsidR="00525901" w:rsidRPr="003850C3" w:rsidRDefault="00525901" w:rsidP="00362E9A">
      <w:pPr>
        <w:ind w:firstLine="709"/>
        <w:jc w:val="both"/>
        <w:rPr>
          <w:sz w:val="28"/>
          <w:szCs w:val="28"/>
        </w:rPr>
      </w:pPr>
      <w:r w:rsidRPr="003850C3">
        <w:rPr>
          <w:sz w:val="28"/>
          <w:szCs w:val="28"/>
        </w:rPr>
        <w:t xml:space="preserve">    </w:t>
      </w:r>
    </w:p>
    <w:p w:rsidR="00525901" w:rsidRPr="003850C3" w:rsidRDefault="00525901" w:rsidP="00525901">
      <w:pPr>
        <w:ind w:firstLine="567"/>
        <w:jc w:val="both"/>
        <w:rPr>
          <w:sz w:val="28"/>
          <w:szCs w:val="28"/>
        </w:rPr>
      </w:pPr>
    </w:p>
    <w:p w:rsidR="00525901" w:rsidRPr="003850C3" w:rsidRDefault="00525901" w:rsidP="00525901">
      <w:pPr>
        <w:ind w:firstLine="567"/>
        <w:jc w:val="center"/>
        <w:rPr>
          <w:b/>
          <w:i/>
          <w:color w:val="000000"/>
          <w:sz w:val="28"/>
          <w:szCs w:val="28"/>
        </w:rPr>
      </w:pPr>
      <w:r w:rsidRPr="003850C3">
        <w:rPr>
          <w:b/>
          <w:i/>
          <w:sz w:val="28"/>
          <w:szCs w:val="28"/>
        </w:rPr>
        <w:t>Показатель</w:t>
      </w:r>
      <w:r w:rsidRPr="003850C3">
        <w:rPr>
          <w:b/>
          <w:i/>
          <w:color w:val="000000"/>
          <w:sz w:val="20"/>
          <w:szCs w:val="20"/>
        </w:rPr>
        <w:t xml:space="preserve"> </w:t>
      </w:r>
      <w:r w:rsidRPr="003850C3">
        <w:rPr>
          <w:b/>
          <w:i/>
          <w:color w:val="000000"/>
          <w:sz w:val="28"/>
          <w:szCs w:val="28"/>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p w:rsidR="00E140E8" w:rsidRPr="003850C3" w:rsidRDefault="00E140E8" w:rsidP="00E140E8">
      <w:pPr>
        <w:ind w:firstLine="709"/>
        <w:jc w:val="both"/>
        <w:rPr>
          <w:color w:val="000000"/>
          <w:sz w:val="28"/>
          <w:szCs w:val="28"/>
        </w:rPr>
      </w:pPr>
      <w:r w:rsidRPr="003850C3">
        <w:rPr>
          <w:color w:val="000000"/>
          <w:sz w:val="28"/>
          <w:szCs w:val="28"/>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w:t>
      </w:r>
      <w:r w:rsidR="00291E28" w:rsidRPr="003850C3">
        <w:rPr>
          <w:color w:val="000000"/>
          <w:sz w:val="28"/>
          <w:szCs w:val="28"/>
        </w:rPr>
        <w:t>учреждениях» составляет 0% (2017</w:t>
      </w:r>
      <w:r w:rsidRPr="003850C3">
        <w:rPr>
          <w:color w:val="000000"/>
          <w:sz w:val="28"/>
          <w:szCs w:val="28"/>
        </w:rPr>
        <w:t xml:space="preserve"> год – 0%). </w:t>
      </w:r>
    </w:p>
    <w:p w:rsidR="00525901" w:rsidRPr="003850C3" w:rsidRDefault="00525901" w:rsidP="00525901">
      <w:pPr>
        <w:ind w:firstLine="720"/>
        <w:jc w:val="both"/>
        <w:rPr>
          <w:color w:val="000000"/>
          <w:sz w:val="28"/>
          <w:szCs w:val="28"/>
        </w:rPr>
      </w:pPr>
      <w:r w:rsidRPr="003850C3">
        <w:rPr>
          <w:color w:val="000000"/>
          <w:sz w:val="28"/>
          <w:szCs w:val="28"/>
        </w:rPr>
        <w:t xml:space="preserve">В связи с вводом в эксплуатацию нового здания МБОУ "Новоаганская ОСШ №2" с 2014 года 100% обучающихся в муниципальных общеобразовательных учреждениях района занимаются в первую смену. </w:t>
      </w:r>
    </w:p>
    <w:p w:rsidR="00525901" w:rsidRPr="003850C3" w:rsidRDefault="00525901" w:rsidP="00525901">
      <w:pPr>
        <w:ind w:firstLine="567"/>
        <w:jc w:val="both"/>
        <w:rPr>
          <w:b/>
          <w:i/>
          <w:color w:val="000000"/>
          <w:sz w:val="28"/>
          <w:szCs w:val="28"/>
        </w:rPr>
      </w:pPr>
    </w:p>
    <w:p w:rsidR="00525901" w:rsidRPr="003850C3" w:rsidRDefault="00525901" w:rsidP="00525901">
      <w:pPr>
        <w:ind w:firstLine="567"/>
        <w:jc w:val="center"/>
        <w:rPr>
          <w:b/>
          <w:i/>
          <w:color w:val="000000"/>
          <w:sz w:val="28"/>
          <w:szCs w:val="28"/>
        </w:rPr>
      </w:pPr>
      <w:r w:rsidRPr="003850C3">
        <w:rPr>
          <w:b/>
          <w:i/>
          <w:sz w:val="28"/>
          <w:szCs w:val="28"/>
        </w:rPr>
        <w:t>Показатель</w:t>
      </w:r>
      <w:r w:rsidRPr="003850C3">
        <w:rPr>
          <w:color w:val="000000"/>
          <w:sz w:val="28"/>
          <w:szCs w:val="28"/>
        </w:rPr>
        <w:t xml:space="preserve"> «</w:t>
      </w:r>
      <w:r w:rsidRPr="003850C3">
        <w:rPr>
          <w:b/>
          <w:i/>
          <w:color w:val="000000"/>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320859" w:rsidRPr="003850C3" w:rsidRDefault="00DC0DA9" w:rsidP="00DC0DA9">
      <w:pPr>
        <w:ind w:firstLine="567"/>
        <w:jc w:val="both"/>
        <w:rPr>
          <w:sz w:val="28"/>
          <w:szCs w:val="28"/>
        </w:rPr>
      </w:pPr>
      <w:r w:rsidRPr="003850C3">
        <w:rPr>
          <w:color w:val="000000"/>
          <w:sz w:val="28"/>
          <w:szCs w:val="28"/>
        </w:rPr>
        <w:t>З</w:t>
      </w:r>
      <w:r w:rsidR="00525901" w:rsidRPr="003850C3">
        <w:rPr>
          <w:color w:val="000000"/>
          <w:sz w:val="28"/>
          <w:szCs w:val="28"/>
        </w:rPr>
        <w:t xml:space="preserve">а счет реализации мероприятий программы "Развитие образования в Нижневартовском районе на 2014-2020 годы", </w:t>
      </w:r>
      <w:r w:rsidR="00525901" w:rsidRPr="003850C3">
        <w:rPr>
          <w:sz w:val="28"/>
          <w:szCs w:val="28"/>
        </w:rPr>
        <w:t>за счет оптимизации неиспользованных площадей, проведения капитальных и текущих ремонтов</w:t>
      </w:r>
      <w:r w:rsidRPr="003850C3">
        <w:rPr>
          <w:color w:val="000000"/>
          <w:sz w:val="28"/>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100,0% (2017 год – 100,0%)</w:t>
      </w:r>
      <w:r w:rsidR="00525901" w:rsidRPr="003850C3">
        <w:rPr>
          <w:sz w:val="28"/>
          <w:szCs w:val="28"/>
        </w:rPr>
        <w:t>.</w:t>
      </w:r>
    </w:p>
    <w:p w:rsidR="00320859" w:rsidRPr="003850C3" w:rsidRDefault="00320859" w:rsidP="00525901">
      <w:pPr>
        <w:ind w:firstLine="284"/>
        <w:jc w:val="both"/>
        <w:rPr>
          <w:sz w:val="28"/>
          <w:szCs w:val="28"/>
        </w:rPr>
      </w:pPr>
    </w:p>
    <w:p w:rsidR="00320859" w:rsidRPr="003850C3" w:rsidRDefault="00320859" w:rsidP="00320859">
      <w:pPr>
        <w:ind w:firstLine="709"/>
        <w:jc w:val="center"/>
        <w:rPr>
          <w:b/>
          <w:sz w:val="28"/>
          <w:szCs w:val="28"/>
        </w:rPr>
      </w:pPr>
      <w:r w:rsidRPr="003850C3">
        <w:rPr>
          <w:b/>
          <w:i/>
          <w:sz w:val="28"/>
          <w:szCs w:val="28"/>
        </w:rPr>
        <w:t>Показатель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320859" w:rsidRPr="003850C3" w:rsidRDefault="00320859" w:rsidP="00320859">
      <w:pPr>
        <w:ind w:firstLine="709"/>
        <w:jc w:val="both"/>
        <w:rPr>
          <w:sz w:val="28"/>
          <w:szCs w:val="28"/>
        </w:rPr>
      </w:pPr>
      <w:r w:rsidRPr="003850C3">
        <w:rPr>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0% (201</w:t>
      </w:r>
      <w:r w:rsidR="00907BF6" w:rsidRPr="003850C3">
        <w:rPr>
          <w:sz w:val="28"/>
          <w:szCs w:val="28"/>
        </w:rPr>
        <w:t>7</w:t>
      </w:r>
      <w:r w:rsidRPr="003850C3">
        <w:rPr>
          <w:sz w:val="28"/>
          <w:szCs w:val="28"/>
        </w:rPr>
        <w:t xml:space="preserve"> год – 0%). </w:t>
      </w:r>
    </w:p>
    <w:p w:rsidR="00A231E3" w:rsidRPr="003850C3" w:rsidRDefault="00320859" w:rsidP="00A231E3">
      <w:pPr>
        <w:ind w:firstLine="709"/>
        <w:jc w:val="both"/>
        <w:rPr>
          <w:sz w:val="28"/>
          <w:szCs w:val="28"/>
        </w:rPr>
      </w:pPr>
      <w:r w:rsidRPr="003850C3">
        <w:rPr>
          <w:sz w:val="28"/>
          <w:szCs w:val="28"/>
        </w:rPr>
        <w:t xml:space="preserve"> Муниципальные общеобразовательные учреждения, здания которых находятся в аварийном состоянии или требуют капитального ремонта, отсутствуют.</w:t>
      </w:r>
      <w:r w:rsidR="00A231E3" w:rsidRPr="003850C3">
        <w:t xml:space="preserve"> </w:t>
      </w:r>
      <w:r w:rsidR="00A231E3" w:rsidRPr="003850C3">
        <w:rPr>
          <w:sz w:val="28"/>
          <w:szCs w:val="28"/>
        </w:rPr>
        <w:t xml:space="preserve">В рамках реализации программы «Развитие образования в Нижневартовском районе на 2018–2025 годы и на период до 2030 года» регулярно выполняются капитальные </w:t>
      </w:r>
      <w:r w:rsidR="000F1CE9" w:rsidRPr="003850C3">
        <w:rPr>
          <w:sz w:val="28"/>
          <w:szCs w:val="28"/>
        </w:rPr>
        <w:t xml:space="preserve">и текущие </w:t>
      </w:r>
      <w:r w:rsidR="00A231E3" w:rsidRPr="003850C3">
        <w:rPr>
          <w:sz w:val="28"/>
          <w:szCs w:val="28"/>
        </w:rPr>
        <w:t xml:space="preserve">ремонты учреждений </w:t>
      </w:r>
      <w:r w:rsidR="000F1CE9" w:rsidRPr="003850C3">
        <w:rPr>
          <w:sz w:val="28"/>
          <w:szCs w:val="28"/>
        </w:rPr>
        <w:t>образования</w:t>
      </w:r>
      <w:r w:rsidR="00A231E3" w:rsidRPr="003850C3">
        <w:rPr>
          <w:sz w:val="28"/>
          <w:szCs w:val="28"/>
        </w:rPr>
        <w:t xml:space="preserve"> в Нижневартовском районе.</w:t>
      </w:r>
    </w:p>
    <w:p w:rsidR="00E178BA" w:rsidRPr="003850C3" w:rsidRDefault="00E178BA" w:rsidP="00A231E3">
      <w:pPr>
        <w:ind w:firstLine="709"/>
        <w:jc w:val="both"/>
        <w:rPr>
          <w:sz w:val="28"/>
          <w:szCs w:val="28"/>
        </w:rPr>
      </w:pPr>
    </w:p>
    <w:p w:rsidR="00A62011" w:rsidRPr="003850C3" w:rsidRDefault="00A62011" w:rsidP="00E178BA">
      <w:pPr>
        <w:ind w:firstLine="284"/>
        <w:jc w:val="center"/>
        <w:rPr>
          <w:b/>
          <w:sz w:val="28"/>
          <w:szCs w:val="28"/>
        </w:rPr>
      </w:pPr>
      <w:r w:rsidRPr="003850C3">
        <w:rPr>
          <w:b/>
          <w:i/>
          <w:sz w:val="28"/>
          <w:szCs w:val="28"/>
        </w:rPr>
        <w:t>Показатель «Доля детей первой и второй групп здоровья в общей численности обучающихся в муниципальных общеобразовательных учреждениях»</w:t>
      </w:r>
    </w:p>
    <w:p w:rsidR="00E178BA" w:rsidRPr="003850C3" w:rsidRDefault="00E178BA" w:rsidP="00E178BA">
      <w:pPr>
        <w:ind w:firstLine="709"/>
        <w:jc w:val="both"/>
        <w:rPr>
          <w:sz w:val="28"/>
          <w:szCs w:val="28"/>
        </w:rPr>
      </w:pPr>
      <w:r w:rsidRPr="003850C3">
        <w:rPr>
          <w:sz w:val="28"/>
          <w:szCs w:val="28"/>
        </w:rPr>
        <w:t>Комплекс социально-гигиенических, профилактических мероприятий, направленных на сохранение и укрепление здоровья детей и подростков, проводимый совместно учреждениями здравоохранения в образовательных учреждениях района позволил в 2018 году увеличить на 4,5% долю детей первой и второй групп здоровья в общей численности обучающихся и составил 91,6 % (2017 – 87,1%).</w:t>
      </w:r>
    </w:p>
    <w:p w:rsidR="000A7CEA" w:rsidRPr="003850C3" w:rsidRDefault="000A7CEA" w:rsidP="000A7CEA">
      <w:pPr>
        <w:ind w:firstLine="709"/>
        <w:jc w:val="both"/>
        <w:rPr>
          <w:b/>
          <w:i/>
          <w:color w:val="000000"/>
          <w:sz w:val="28"/>
          <w:szCs w:val="28"/>
        </w:rPr>
      </w:pPr>
    </w:p>
    <w:p w:rsidR="00F44851" w:rsidRPr="003850C3" w:rsidRDefault="00F44851" w:rsidP="00F44851">
      <w:pPr>
        <w:ind w:firstLine="709"/>
        <w:jc w:val="center"/>
        <w:rPr>
          <w:b/>
          <w:i/>
          <w:sz w:val="28"/>
          <w:szCs w:val="28"/>
        </w:rPr>
      </w:pPr>
      <w:r w:rsidRPr="003850C3">
        <w:rPr>
          <w:b/>
          <w:i/>
          <w:sz w:val="28"/>
          <w:szCs w:val="28"/>
        </w:rPr>
        <w:t>Показатель «Доля муниципальных учреждений культуры, здания которых находятся в аварийном состоянии или требуют капитального ремонта, в общем числе муниципальных учреждений культуры»</w:t>
      </w:r>
    </w:p>
    <w:p w:rsidR="00F44851" w:rsidRPr="003850C3" w:rsidRDefault="00F44851" w:rsidP="00F44851">
      <w:pPr>
        <w:ind w:firstLine="709"/>
        <w:jc w:val="center"/>
        <w:rPr>
          <w:b/>
          <w:sz w:val="28"/>
          <w:szCs w:val="28"/>
        </w:rPr>
      </w:pPr>
    </w:p>
    <w:p w:rsidR="00F44851" w:rsidRPr="003850C3" w:rsidRDefault="00F44851" w:rsidP="00F44851">
      <w:pPr>
        <w:ind w:firstLine="709"/>
        <w:rPr>
          <w:sz w:val="28"/>
          <w:szCs w:val="28"/>
        </w:rPr>
      </w:pPr>
      <w:r w:rsidRPr="003850C3">
        <w:rPr>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числе муниципальных учреждений культуры, составляет 0% (201</w:t>
      </w:r>
      <w:r w:rsidR="007A6561" w:rsidRPr="003850C3">
        <w:rPr>
          <w:sz w:val="28"/>
          <w:szCs w:val="28"/>
        </w:rPr>
        <w:t>7</w:t>
      </w:r>
      <w:r w:rsidRPr="003850C3">
        <w:rPr>
          <w:sz w:val="28"/>
          <w:szCs w:val="28"/>
        </w:rPr>
        <w:t xml:space="preserve"> год – 0%). </w:t>
      </w:r>
    </w:p>
    <w:p w:rsidR="00F44851" w:rsidRPr="003850C3" w:rsidRDefault="00F44851" w:rsidP="00F44851">
      <w:pPr>
        <w:ind w:firstLine="709"/>
        <w:jc w:val="both"/>
        <w:rPr>
          <w:sz w:val="28"/>
          <w:szCs w:val="28"/>
        </w:rPr>
      </w:pPr>
      <w:r w:rsidRPr="003850C3">
        <w:rPr>
          <w:sz w:val="28"/>
          <w:szCs w:val="28"/>
        </w:rPr>
        <w:t xml:space="preserve">Муниципальные учреждения культуры, здания которых находятся в аварийном состоянии или требуют капитального ремонта, отсутствуют. В рамках реализации программы «Развитие культуры и туризма в Нижневартовском районе на 2018-2025 годы и на период до 2030 года» регулярно выполняются капитальные </w:t>
      </w:r>
      <w:r w:rsidR="00163407" w:rsidRPr="003850C3">
        <w:rPr>
          <w:sz w:val="28"/>
          <w:szCs w:val="28"/>
        </w:rPr>
        <w:t xml:space="preserve">и текущие </w:t>
      </w:r>
      <w:r w:rsidRPr="003850C3">
        <w:rPr>
          <w:sz w:val="28"/>
          <w:szCs w:val="28"/>
        </w:rPr>
        <w:t>ремонты учреждений культуры в Нижневартовском районе.</w:t>
      </w:r>
    </w:p>
    <w:p w:rsidR="007B72D0" w:rsidRPr="003850C3" w:rsidRDefault="007B72D0" w:rsidP="00F44851">
      <w:pPr>
        <w:ind w:firstLine="709"/>
        <w:jc w:val="both"/>
        <w:rPr>
          <w:sz w:val="28"/>
          <w:szCs w:val="28"/>
        </w:rPr>
      </w:pPr>
    </w:p>
    <w:p w:rsidR="00A348FB" w:rsidRPr="003850C3" w:rsidRDefault="00A348FB" w:rsidP="00A348FB">
      <w:pPr>
        <w:ind w:firstLine="709"/>
        <w:jc w:val="center"/>
        <w:rPr>
          <w:b/>
          <w:i/>
          <w:sz w:val="28"/>
          <w:szCs w:val="28"/>
        </w:rPr>
      </w:pPr>
      <w:r w:rsidRPr="003850C3">
        <w:rPr>
          <w:b/>
          <w:i/>
          <w:sz w:val="28"/>
          <w:szCs w:val="28"/>
        </w:rPr>
        <w:t>Показател</w:t>
      </w:r>
      <w:r w:rsidR="006C4EA3" w:rsidRPr="003850C3">
        <w:rPr>
          <w:b/>
          <w:i/>
          <w:sz w:val="28"/>
          <w:szCs w:val="28"/>
        </w:rPr>
        <w:t>и</w:t>
      </w:r>
      <w:r w:rsidRPr="003850C3">
        <w:rPr>
          <w:b/>
          <w:i/>
          <w:sz w:val="28"/>
          <w:szCs w:val="28"/>
        </w:rPr>
        <w:t xml:space="preserve"> «Доля населения, систематически занимающегося физической культурой и спортом»</w:t>
      </w:r>
      <w:r w:rsidR="006C4EA3" w:rsidRPr="003850C3">
        <w:rPr>
          <w:b/>
          <w:i/>
          <w:sz w:val="28"/>
          <w:szCs w:val="28"/>
        </w:rPr>
        <w:t>, «Доля обучающихся, систематически занимающихся физической культурой и спортом, в общей численности обучающихся»</w:t>
      </w:r>
    </w:p>
    <w:p w:rsidR="00A348FB" w:rsidRPr="003850C3" w:rsidRDefault="00A348FB" w:rsidP="00A348FB">
      <w:pPr>
        <w:ind w:firstLine="709"/>
        <w:jc w:val="center"/>
        <w:rPr>
          <w:b/>
          <w:i/>
          <w:sz w:val="28"/>
          <w:szCs w:val="28"/>
        </w:rPr>
      </w:pPr>
    </w:p>
    <w:p w:rsidR="00A348FB" w:rsidRPr="003850C3" w:rsidRDefault="00A348FB" w:rsidP="00A348FB">
      <w:pPr>
        <w:ind w:firstLine="708"/>
        <w:jc w:val="both"/>
        <w:rPr>
          <w:sz w:val="28"/>
          <w:szCs w:val="28"/>
        </w:rPr>
      </w:pPr>
      <w:r w:rsidRPr="003850C3">
        <w:rPr>
          <w:sz w:val="28"/>
          <w:szCs w:val="28"/>
        </w:rPr>
        <w:t>В 2018 году</w:t>
      </w:r>
      <w:r w:rsidR="006C4EA3" w:rsidRPr="003850C3">
        <w:rPr>
          <w:sz w:val="28"/>
          <w:szCs w:val="28"/>
        </w:rPr>
        <w:t xml:space="preserve"> «Доля населения, систематически занимающегося физической культурой и спортом» составила 47,7% (2017 год – 42,7%), «Доля обучающихся, систематически занимающихся физической культурой и спортом, в общей численности обучающихся» – 96,1% (2017 год – 76,0%).</w:t>
      </w:r>
    </w:p>
    <w:p w:rsidR="0005435A" w:rsidRPr="003850C3" w:rsidRDefault="005853F2" w:rsidP="00A348FB">
      <w:pPr>
        <w:ind w:firstLine="708"/>
        <w:jc w:val="both"/>
        <w:rPr>
          <w:sz w:val="28"/>
          <w:szCs w:val="28"/>
        </w:rPr>
      </w:pPr>
      <w:r w:rsidRPr="003850C3">
        <w:rPr>
          <w:sz w:val="28"/>
          <w:szCs w:val="28"/>
        </w:rPr>
        <w:t>В</w:t>
      </w:r>
      <w:r w:rsidR="00A348FB" w:rsidRPr="003850C3">
        <w:rPr>
          <w:sz w:val="28"/>
          <w:szCs w:val="28"/>
        </w:rPr>
        <w:t xml:space="preserve"> 2018 году </w:t>
      </w:r>
      <w:r w:rsidRPr="003850C3">
        <w:rPr>
          <w:sz w:val="28"/>
          <w:szCs w:val="28"/>
        </w:rPr>
        <w:t>в образовательных организациях</w:t>
      </w:r>
      <w:r w:rsidR="0005435A" w:rsidRPr="003850C3">
        <w:rPr>
          <w:sz w:val="28"/>
          <w:szCs w:val="28"/>
        </w:rPr>
        <w:t xml:space="preserve"> внедрены</w:t>
      </w:r>
      <w:r w:rsidRPr="003850C3">
        <w:rPr>
          <w:sz w:val="28"/>
          <w:szCs w:val="28"/>
        </w:rPr>
        <w:t xml:space="preserve"> мероприяти</w:t>
      </w:r>
      <w:r w:rsidR="00A428B7" w:rsidRPr="003850C3">
        <w:rPr>
          <w:sz w:val="28"/>
          <w:szCs w:val="28"/>
        </w:rPr>
        <w:t>я</w:t>
      </w:r>
      <w:r w:rsidRPr="003850C3">
        <w:rPr>
          <w:sz w:val="28"/>
          <w:szCs w:val="28"/>
        </w:rPr>
        <w:t xml:space="preserve"> Всероссийского физкультурно-спортивного комплекса "ГТО", </w:t>
      </w:r>
      <w:r w:rsidR="00A348FB" w:rsidRPr="003850C3">
        <w:rPr>
          <w:sz w:val="28"/>
          <w:szCs w:val="28"/>
        </w:rPr>
        <w:t xml:space="preserve">организованы тренировки по подготовке к сдаче нормативов ВФСК «ГТО». </w:t>
      </w:r>
      <w:r w:rsidR="0005435A" w:rsidRPr="003850C3">
        <w:rPr>
          <w:sz w:val="28"/>
          <w:szCs w:val="28"/>
        </w:rPr>
        <w:t>П</w:t>
      </w:r>
      <w:r w:rsidR="00A428B7" w:rsidRPr="003850C3">
        <w:rPr>
          <w:sz w:val="28"/>
          <w:szCs w:val="28"/>
        </w:rPr>
        <w:t>роводятся ф</w:t>
      </w:r>
      <w:r w:rsidR="00A348FB" w:rsidRPr="003850C3">
        <w:rPr>
          <w:sz w:val="28"/>
          <w:szCs w:val="28"/>
        </w:rPr>
        <w:t>изкультурные мероприятия с использованием спортивной базы учреждений образования</w:t>
      </w:r>
      <w:r w:rsidR="0005435A" w:rsidRPr="003850C3">
        <w:rPr>
          <w:sz w:val="28"/>
          <w:szCs w:val="28"/>
        </w:rPr>
        <w:t xml:space="preserve"> педагогами по физической культуре в общеобразовательных организациях и детских садах</w:t>
      </w:r>
      <w:r w:rsidR="00A348FB" w:rsidRPr="003850C3">
        <w:rPr>
          <w:sz w:val="28"/>
          <w:szCs w:val="28"/>
        </w:rPr>
        <w:t xml:space="preserve">, инструкторами по спорту в поселениях на гимнастических (воркаут) площадках. В 2018 году на постоянной основе тренировки посетили  1520 человек. </w:t>
      </w:r>
    </w:p>
    <w:p w:rsidR="00A428B7" w:rsidRPr="003850C3" w:rsidRDefault="00A428B7" w:rsidP="00A428B7">
      <w:pPr>
        <w:ind w:firstLine="708"/>
        <w:jc w:val="both"/>
        <w:rPr>
          <w:sz w:val="28"/>
          <w:szCs w:val="28"/>
        </w:rPr>
      </w:pPr>
      <w:r w:rsidRPr="003850C3">
        <w:rPr>
          <w:sz w:val="28"/>
          <w:szCs w:val="28"/>
        </w:rPr>
        <w:t>В спортивных школах района организованы спортивно-оздоровительные занятия для детей с расстройствами акустического спектра. Занятия посещают 11 детей.</w:t>
      </w:r>
    </w:p>
    <w:p w:rsidR="0005435A" w:rsidRPr="003850C3" w:rsidRDefault="0005435A" w:rsidP="0005435A">
      <w:pPr>
        <w:ind w:firstLine="708"/>
        <w:jc w:val="both"/>
        <w:rPr>
          <w:sz w:val="28"/>
          <w:szCs w:val="28"/>
        </w:rPr>
      </w:pPr>
      <w:r w:rsidRPr="003850C3">
        <w:rPr>
          <w:sz w:val="28"/>
          <w:szCs w:val="28"/>
        </w:rPr>
        <w:t xml:space="preserve">С 2015 года в поселениях района установлено 12 спортивных площадок, 4 из которых установлены в 2018 году и 2 площадки реконструированы и оборудованы современным оборудованием. </w:t>
      </w:r>
    </w:p>
    <w:p w:rsidR="00A348FB" w:rsidRPr="003850C3" w:rsidRDefault="00A428B7" w:rsidP="00A348FB">
      <w:pPr>
        <w:ind w:firstLine="708"/>
        <w:jc w:val="both"/>
        <w:rPr>
          <w:sz w:val="28"/>
          <w:szCs w:val="28"/>
        </w:rPr>
      </w:pPr>
      <w:r w:rsidRPr="003850C3">
        <w:rPr>
          <w:sz w:val="28"/>
          <w:szCs w:val="28"/>
        </w:rPr>
        <w:t>П</w:t>
      </w:r>
      <w:r w:rsidR="00A348FB" w:rsidRPr="003850C3">
        <w:rPr>
          <w:sz w:val="28"/>
          <w:szCs w:val="28"/>
        </w:rPr>
        <w:t>роведены массовые физкультурные мероприятия, такие как, Всероссийский день бега «Кросс Нации-2018», массовые физкультурные мероприятия – Автопробег «ГТО» - Мы-едем к Вам!</w:t>
      </w:r>
      <w:r w:rsidRPr="003850C3">
        <w:rPr>
          <w:sz w:val="28"/>
          <w:szCs w:val="28"/>
        </w:rPr>
        <w:t>»</w:t>
      </w:r>
      <w:r w:rsidR="00A348FB" w:rsidRPr="003850C3">
        <w:rPr>
          <w:sz w:val="28"/>
          <w:szCs w:val="28"/>
        </w:rPr>
        <w:t xml:space="preserve">,  </w:t>
      </w:r>
      <w:r w:rsidRPr="003850C3">
        <w:rPr>
          <w:sz w:val="28"/>
          <w:szCs w:val="28"/>
        </w:rPr>
        <w:t>«</w:t>
      </w:r>
      <w:r w:rsidR="00A348FB" w:rsidRPr="003850C3">
        <w:rPr>
          <w:sz w:val="28"/>
          <w:szCs w:val="28"/>
        </w:rPr>
        <w:t>Зарядка с чемпионом</w:t>
      </w:r>
      <w:r w:rsidRPr="003850C3">
        <w:rPr>
          <w:sz w:val="28"/>
          <w:szCs w:val="28"/>
        </w:rPr>
        <w:t>»</w:t>
      </w:r>
      <w:r w:rsidR="00A348FB" w:rsidRPr="003850C3">
        <w:rPr>
          <w:sz w:val="28"/>
          <w:szCs w:val="28"/>
        </w:rPr>
        <w:t xml:space="preserve">  приуроченные</w:t>
      </w:r>
      <w:r w:rsidRPr="003850C3">
        <w:rPr>
          <w:sz w:val="28"/>
          <w:szCs w:val="28"/>
        </w:rPr>
        <w:t xml:space="preserve"> к</w:t>
      </w:r>
      <w:r w:rsidR="00A348FB" w:rsidRPr="003850C3">
        <w:rPr>
          <w:sz w:val="28"/>
          <w:szCs w:val="28"/>
        </w:rPr>
        <w:t xml:space="preserve"> Дню флага, Фестивали ГТО среди всех категорий граждан, мастер классы по оздоровительной гимнастике и зумбе. Участниками мероприятий стали более 2000 человек</w:t>
      </w:r>
      <w:r w:rsidR="0005435A" w:rsidRPr="003850C3">
        <w:rPr>
          <w:sz w:val="28"/>
          <w:szCs w:val="28"/>
        </w:rPr>
        <w:t>.</w:t>
      </w:r>
    </w:p>
    <w:p w:rsidR="0005435A" w:rsidRPr="003850C3" w:rsidRDefault="0005435A" w:rsidP="0005435A">
      <w:pPr>
        <w:ind w:firstLine="708"/>
        <w:jc w:val="both"/>
        <w:rPr>
          <w:sz w:val="28"/>
          <w:szCs w:val="28"/>
        </w:rPr>
      </w:pPr>
      <w:r w:rsidRPr="003850C3">
        <w:rPr>
          <w:sz w:val="28"/>
          <w:szCs w:val="28"/>
        </w:rPr>
        <w:t>В поселениях района организованны тренировки по Северной (скандинавской ходьбе). Участниками тренировочных мероприятий на постоянной основе в 2018 году стали 230 человек.</w:t>
      </w:r>
    </w:p>
    <w:p w:rsidR="00A348FB" w:rsidRPr="003850C3" w:rsidRDefault="00A348FB" w:rsidP="00A348FB">
      <w:pPr>
        <w:ind w:firstLine="708"/>
        <w:jc w:val="both"/>
        <w:rPr>
          <w:sz w:val="28"/>
          <w:szCs w:val="28"/>
        </w:rPr>
      </w:pPr>
      <w:r w:rsidRPr="003850C3">
        <w:rPr>
          <w:sz w:val="28"/>
          <w:szCs w:val="28"/>
        </w:rPr>
        <w:t>В спортивных школах района сформированы  спортивно-оздоровительные группы для населения старшего поколения. Занятия проводятся пять раз в неделю. Организованы: оздоровительная гимнастика, тренировки в бассейне, игровые тренировки, силовые в тренажерном зале, скандинавская ходьба. В 2018 году занятия посещали 86 человек.</w:t>
      </w:r>
    </w:p>
    <w:p w:rsidR="00A428B7" w:rsidRPr="003850C3" w:rsidRDefault="00A428B7" w:rsidP="00A348FB">
      <w:pPr>
        <w:ind w:firstLine="708"/>
        <w:jc w:val="both"/>
        <w:rPr>
          <w:sz w:val="28"/>
          <w:szCs w:val="28"/>
        </w:rPr>
      </w:pPr>
    </w:p>
    <w:p w:rsidR="00BD73C3" w:rsidRPr="003850C3" w:rsidRDefault="00BD73C3" w:rsidP="00BD73C3">
      <w:pPr>
        <w:ind w:firstLine="567"/>
        <w:jc w:val="center"/>
        <w:rPr>
          <w:b/>
          <w:i/>
          <w:color w:val="000000"/>
          <w:sz w:val="28"/>
          <w:szCs w:val="28"/>
        </w:rPr>
      </w:pPr>
      <w:r w:rsidRPr="003850C3">
        <w:rPr>
          <w:b/>
          <w:i/>
          <w:sz w:val="28"/>
          <w:szCs w:val="28"/>
        </w:rPr>
        <w:t xml:space="preserve">Показатель </w:t>
      </w:r>
      <w:r w:rsidRPr="003850C3">
        <w:rPr>
          <w:b/>
          <w:i/>
          <w:color w:val="000000"/>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BD73C3" w:rsidRPr="003850C3" w:rsidRDefault="00BD73C3" w:rsidP="00BD73C3">
      <w:pPr>
        <w:ind w:firstLine="567"/>
        <w:jc w:val="both"/>
        <w:rPr>
          <w:color w:val="000000"/>
          <w:sz w:val="28"/>
          <w:szCs w:val="28"/>
        </w:rPr>
      </w:pPr>
      <w:r w:rsidRPr="003850C3">
        <w:rPr>
          <w:color w:val="000000"/>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Нижневартовского района составила 85,7%. </w:t>
      </w:r>
    </w:p>
    <w:p w:rsidR="00BD73C3" w:rsidRPr="003850C3" w:rsidRDefault="00BD73C3" w:rsidP="00BD73C3">
      <w:pPr>
        <w:pStyle w:val="1"/>
        <w:spacing w:before="0" w:line="240" w:lineRule="auto"/>
        <w:ind w:firstLine="567"/>
        <w:jc w:val="both"/>
        <w:rPr>
          <w:rFonts w:ascii="Times New Roman" w:hAnsi="Times New Roman" w:cs="Times New Roman"/>
          <w:color w:val="auto"/>
          <w:sz w:val="28"/>
          <w:szCs w:val="28"/>
        </w:rPr>
      </w:pPr>
      <w:r w:rsidRPr="003850C3">
        <w:rPr>
          <w:rFonts w:ascii="Times New Roman" w:hAnsi="Times New Roman" w:cs="Times New Roman"/>
          <w:color w:val="000000"/>
          <w:sz w:val="28"/>
          <w:szCs w:val="28"/>
        </w:rPr>
        <w:t>На территории района осуществляют свою деятельность 7 организаций коммунального комплекса. Из них 6 организаций коммунального комплекса частной формы собственности, участие муниципального образования в уставном капитале которых  составляет не более 25%.</w:t>
      </w:r>
    </w:p>
    <w:p w:rsidR="00BD73C3" w:rsidRPr="003850C3" w:rsidRDefault="00BD73C3" w:rsidP="00525901">
      <w:pPr>
        <w:ind w:firstLine="709"/>
        <w:jc w:val="center"/>
        <w:rPr>
          <w:b/>
          <w:i/>
          <w:sz w:val="28"/>
          <w:szCs w:val="28"/>
        </w:rPr>
      </w:pPr>
    </w:p>
    <w:p w:rsidR="00525901" w:rsidRPr="003850C3" w:rsidRDefault="00525901" w:rsidP="00525901">
      <w:pPr>
        <w:ind w:firstLine="709"/>
        <w:jc w:val="center"/>
        <w:rPr>
          <w:b/>
          <w:i/>
          <w:sz w:val="28"/>
          <w:szCs w:val="28"/>
        </w:rPr>
      </w:pPr>
      <w:r w:rsidRPr="003850C3">
        <w:rPr>
          <w:b/>
          <w:i/>
          <w:sz w:val="28"/>
          <w:szCs w:val="28"/>
        </w:rPr>
        <w:t>Показатель «Доля населения, получившего жилые помещения и улучшившего жилищные условия в отчетном году, в общей численности</w:t>
      </w:r>
    </w:p>
    <w:p w:rsidR="00525901" w:rsidRPr="003850C3" w:rsidRDefault="00525901" w:rsidP="00525901">
      <w:pPr>
        <w:widowControl w:val="0"/>
        <w:autoSpaceDE w:val="0"/>
        <w:autoSpaceDN w:val="0"/>
        <w:adjustRightInd w:val="0"/>
        <w:jc w:val="center"/>
        <w:rPr>
          <w:b/>
          <w:i/>
          <w:sz w:val="28"/>
          <w:szCs w:val="28"/>
        </w:rPr>
      </w:pPr>
      <w:r w:rsidRPr="003850C3">
        <w:rPr>
          <w:b/>
          <w:i/>
          <w:sz w:val="28"/>
          <w:szCs w:val="28"/>
        </w:rPr>
        <w:t xml:space="preserve">населения, состоящего на учете в качестве нуждающегося в жилых помещениях» </w:t>
      </w:r>
    </w:p>
    <w:p w:rsidR="00525901" w:rsidRPr="003850C3" w:rsidRDefault="00525901" w:rsidP="00525901">
      <w:pPr>
        <w:ind w:firstLine="708"/>
        <w:jc w:val="both"/>
        <w:rPr>
          <w:sz w:val="28"/>
          <w:szCs w:val="28"/>
        </w:rPr>
      </w:pPr>
      <w:r w:rsidRPr="003850C3">
        <w:rPr>
          <w:sz w:val="28"/>
          <w:szCs w:val="28"/>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составила </w:t>
      </w:r>
      <w:r w:rsidR="0096783E" w:rsidRPr="003850C3">
        <w:rPr>
          <w:sz w:val="28"/>
          <w:szCs w:val="28"/>
        </w:rPr>
        <w:t>71,9</w:t>
      </w:r>
      <w:r w:rsidRPr="003850C3">
        <w:rPr>
          <w:sz w:val="28"/>
          <w:szCs w:val="28"/>
        </w:rPr>
        <w:t>% (201</w:t>
      </w:r>
      <w:r w:rsidR="0096783E" w:rsidRPr="003850C3">
        <w:rPr>
          <w:sz w:val="28"/>
          <w:szCs w:val="28"/>
        </w:rPr>
        <w:t>7</w:t>
      </w:r>
      <w:r w:rsidRPr="003850C3">
        <w:rPr>
          <w:sz w:val="28"/>
          <w:szCs w:val="28"/>
        </w:rPr>
        <w:t xml:space="preserve"> год – </w:t>
      </w:r>
      <w:r w:rsidR="0096783E" w:rsidRPr="003850C3">
        <w:rPr>
          <w:sz w:val="28"/>
          <w:szCs w:val="28"/>
        </w:rPr>
        <w:t>62,8</w:t>
      </w:r>
      <w:r w:rsidRPr="003850C3">
        <w:rPr>
          <w:sz w:val="28"/>
          <w:szCs w:val="28"/>
        </w:rPr>
        <w:t>%).</w:t>
      </w:r>
    </w:p>
    <w:p w:rsidR="00525901" w:rsidRPr="003850C3" w:rsidRDefault="0096783E" w:rsidP="00525901">
      <w:pPr>
        <w:widowControl w:val="0"/>
        <w:autoSpaceDE w:val="0"/>
        <w:autoSpaceDN w:val="0"/>
        <w:adjustRightInd w:val="0"/>
        <w:ind w:firstLine="709"/>
        <w:jc w:val="both"/>
        <w:rPr>
          <w:sz w:val="28"/>
          <w:szCs w:val="28"/>
        </w:rPr>
      </w:pPr>
      <w:r w:rsidRPr="003850C3">
        <w:rPr>
          <w:sz w:val="28"/>
          <w:szCs w:val="28"/>
        </w:rPr>
        <w:t>В 2018 году состояло на учете 1417 граждан, улучшили свои жилищные условия 1019 граждан, путем получения жилых помещений в порядке очередности по договорам социального найма, переселения из непригодного, аварийного жилищного фонда, получение жилых помещений специализированного жилищного фонда, фонда коммерческого использования, реализации мероприятий различных целевых программ (по предоставлению субсидий молодым семьям, переселение за пределы автономного округа, обеспечение детей сирот, предоставление многодетным семьям выплаты взамен предоставления им земельного участка в собственность бесплатно).</w:t>
      </w:r>
    </w:p>
    <w:p w:rsidR="0096783E" w:rsidRPr="003850C3" w:rsidRDefault="0096783E" w:rsidP="00525901">
      <w:pPr>
        <w:widowControl w:val="0"/>
        <w:autoSpaceDE w:val="0"/>
        <w:autoSpaceDN w:val="0"/>
        <w:adjustRightInd w:val="0"/>
        <w:jc w:val="center"/>
        <w:outlineLvl w:val="1"/>
        <w:rPr>
          <w:b/>
          <w:i/>
          <w:sz w:val="28"/>
          <w:szCs w:val="28"/>
        </w:rPr>
      </w:pPr>
    </w:p>
    <w:p w:rsidR="00525901" w:rsidRPr="003850C3" w:rsidRDefault="00525901" w:rsidP="00525901">
      <w:pPr>
        <w:widowControl w:val="0"/>
        <w:autoSpaceDE w:val="0"/>
        <w:autoSpaceDN w:val="0"/>
        <w:adjustRightInd w:val="0"/>
        <w:jc w:val="center"/>
        <w:outlineLvl w:val="1"/>
        <w:rPr>
          <w:b/>
          <w:i/>
          <w:sz w:val="28"/>
          <w:szCs w:val="28"/>
        </w:rPr>
      </w:pPr>
      <w:r w:rsidRPr="003850C3">
        <w:rPr>
          <w:b/>
          <w:i/>
          <w:sz w:val="28"/>
          <w:szCs w:val="28"/>
        </w:rPr>
        <w:t xml:space="preserve">Показатель «Площадь земельных участков, предоставленных для строительства, в отношении которых с даты принятия решения </w:t>
      </w:r>
    </w:p>
    <w:p w:rsidR="00525901" w:rsidRPr="003850C3" w:rsidRDefault="00525901" w:rsidP="00525901">
      <w:pPr>
        <w:widowControl w:val="0"/>
        <w:autoSpaceDE w:val="0"/>
        <w:autoSpaceDN w:val="0"/>
        <w:adjustRightInd w:val="0"/>
        <w:jc w:val="center"/>
        <w:outlineLvl w:val="1"/>
        <w:rPr>
          <w:b/>
          <w:i/>
          <w:sz w:val="28"/>
          <w:szCs w:val="28"/>
        </w:rPr>
      </w:pPr>
      <w:r w:rsidRPr="003850C3">
        <w:rPr>
          <w:b/>
          <w:i/>
          <w:sz w:val="28"/>
          <w:szCs w:val="28"/>
        </w:rPr>
        <w:t xml:space="preserve">о предоставлении земельного участка или подписания протокола о результатах торгов (конкурсов, аукционов) не было получено разрешение </w:t>
      </w:r>
    </w:p>
    <w:p w:rsidR="00525901" w:rsidRPr="003850C3" w:rsidRDefault="00525901" w:rsidP="00525901">
      <w:pPr>
        <w:widowControl w:val="0"/>
        <w:autoSpaceDE w:val="0"/>
        <w:autoSpaceDN w:val="0"/>
        <w:adjustRightInd w:val="0"/>
        <w:jc w:val="center"/>
        <w:outlineLvl w:val="1"/>
        <w:rPr>
          <w:b/>
          <w:i/>
          <w:sz w:val="28"/>
          <w:szCs w:val="28"/>
        </w:rPr>
      </w:pPr>
      <w:r w:rsidRPr="003850C3">
        <w:rPr>
          <w:b/>
          <w:i/>
          <w:sz w:val="28"/>
          <w:szCs w:val="28"/>
        </w:rPr>
        <w:t xml:space="preserve">на ввод в эксплуатацию»  </w:t>
      </w:r>
    </w:p>
    <w:p w:rsidR="00525901" w:rsidRPr="003850C3" w:rsidRDefault="00525901" w:rsidP="00525901">
      <w:pPr>
        <w:widowControl w:val="0"/>
        <w:autoSpaceDE w:val="0"/>
        <w:autoSpaceDN w:val="0"/>
        <w:adjustRightInd w:val="0"/>
        <w:ind w:firstLine="720"/>
        <w:jc w:val="both"/>
        <w:outlineLvl w:val="1"/>
        <w:rPr>
          <w:sz w:val="28"/>
          <w:szCs w:val="28"/>
        </w:rPr>
      </w:pPr>
      <w:r w:rsidRPr="003850C3">
        <w:rPr>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отсутствует.</w:t>
      </w:r>
    </w:p>
    <w:p w:rsidR="00525901" w:rsidRPr="003850C3" w:rsidRDefault="00525901" w:rsidP="00525901">
      <w:pPr>
        <w:ind w:firstLine="720"/>
        <w:jc w:val="both"/>
        <w:rPr>
          <w:i/>
          <w:iCs/>
          <w:sz w:val="28"/>
          <w:szCs w:val="28"/>
        </w:rPr>
      </w:pPr>
      <w:r w:rsidRPr="003850C3">
        <w:rPr>
          <w:sz w:val="28"/>
          <w:szCs w:val="28"/>
        </w:rPr>
        <w:t>В 201</w:t>
      </w:r>
      <w:r w:rsidR="001048F1" w:rsidRPr="003850C3">
        <w:rPr>
          <w:sz w:val="28"/>
          <w:szCs w:val="28"/>
        </w:rPr>
        <w:t>8</w:t>
      </w:r>
      <w:r w:rsidRPr="003850C3">
        <w:rPr>
          <w:sz w:val="28"/>
          <w:szCs w:val="28"/>
        </w:rPr>
        <w:t xml:space="preserve"> году срок</w:t>
      </w:r>
      <w:r w:rsidR="00D75C5D" w:rsidRPr="003850C3">
        <w:rPr>
          <w:sz w:val="28"/>
          <w:szCs w:val="28"/>
        </w:rPr>
        <w:t>и</w:t>
      </w:r>
      <w:r w:rsidRPr="003850C3">
        <w:rPr>
          <w:sz w:val="28"/>
          <w:szCs w:val="28"/>
        </w:rPr>
        <w:t xml:space="preserve"> согласовани</w:t>
      </w:r>
      <w:r w:rsidR="00D75C5D" w:rsidRPr="003850C3">
        <w:rPr>
          <w:sz w:val="28"/>
          <w:szCs w:val="28"/>
        </w:rPr>
        <w:t>я</w:t>
      </w:r>
      <w:r w:rsidRPr="003850C3">
        <w:rPr>
          <w:sz w:val="28"/>
          <w:szCs w:val="28"/>
        </w:rPr>
        <w:t xml:space="preserve"> </w:t>
      </w:r>
      <w:r w:rsidR="00D75C5D" w:rsidRPr="003850C3">
        <w:rPr>
          <w:sz w:val="28"/>
          <w:szCs w:val="28"/>
        </w:rPr>
        <w:t>на</w:t>
      </w:r>
      <w:r w:rsidRPr="003850C3">
        <w:rPr>
          <w:sz w:val="28"/>
          <w:szCs w:val="28"/>
        </w:rPr>
        <w:t xml:space="preserve"> получени</w:t>
      </w:r>
      <w:r w:rsidR="00D75C5D" w:rsidRPr="003850C3">
        <w:rPr>
          <w:sz w:val="28"/>
          <w:szCs w:val="28"/>
        </w:rPr>
        <w:t>е</w:t>
      </w:r>
      <w:r w:rsidRPr="003850C3">
        <w:rPr>
          <w:sz w:val="28"/>
          <w:szCs w:val="28"/>
        </w:rPr>
        <w:t xml:space="preserve"> разрешения на строительство, количество процедур составило – 5</w:t>
      </w:r>
      <w:r w:rsidR="00D75C5D" w:rsidRPr="003850C3">
        <w:rPr>
          <w:sz w:val="28"/>
          <w:szCs w:val="28"/>
        </w:rPr>
        <w:t xml:space="preserve"> дней</w:t>
      </w:r>
      <w:r w:rsidRPr="003850C3">
        <w:rPr>
          <w:sz w:val="28"/>
          <w:szCs w:val="28"/>
        </w:rPr>
        <w:t xml:space="preserve">, время прохождения всех процедур </w:t>
      </w:r>
      <w:r w:rsidR="00D75C5D" w:rsidRPr="003850C3">
        <w:rPr>
          <w:sz w:val="28"/>
          <w:szCs w:val="28"/>
        </w:rPr>
        <w:t>-</w:t>
      </w:r>
      <w:r w:rsidRPr="003850C3">
        <w:rPr>
          <w:sz w:val="28"/>
          <w:szCs w:val="28"/>
        </w:rPr>
        <w:t xml:space="preserve"> 54 дня</w:t>
      </w:r>
      <w:r w:rsidRPr="003850C3">
        <w:rPr>
          <w:i/>
          <w:iCs/>
          <w:sz w:val="28"/>
          <w:szCs w:val="28"/>
        </w:rPr>
        <w:t>.</w:t>
      </w:r>
    </w:p>
    <w:p w:rsidR="00525901" w:rsidRPr="003850C3" w:rsidRDefault="00525901" w:rsidP="00525901">
      <w:pPr>
        <w:ind w:firstLine="720"/>
        <w:jc w:val="both"/>
        <w:rPr>
          <w:sz w:val="28"/>
          <w:szCs w:val="28"/>
        </w:rPr>
      </w:pPr>
      <w:r w:rsidRPr="003850C3">
        <w:rPr>
          <w:sz w:val="28"/>
          <w:szCs w:val="28"/>
        </w:rPr>
        <w:t>Принятые меры позволяют своевременно формировать и  последовательно осваивать земельные участки для жилищного строительства и иных объектов капитального строительства.</w:t>
      </w:r>
    </w:p>
    <w:p w:rsidR="00FE46B4" w:rsidRPr="003850C3" w:rsidRDefault="00FE46B4" w:rsidP="00525901">
      <w:pPr>
        <w:ind w:firstLine="720"/>
        <w:jc w:val="both"/>
        <w:rPr>
          <w:sz w:val="28"/>
          <w:szCs w:val="28"/>
        </w:rPr>
      </w:pPr>
    </w:p>
    <w:p w:rsidR="00FE46B4" w:rsidRPr="003850C3" w:rsidRDefault="00FE46B4" w:rsidP="00FE46B4">
      <w:pPr>
        <w:widowControl w:val="0"/>
        <w:autoSpaceDE w:val="0"/>
        <w:autoSpaceDN w:val="0"/>
        <w:adjustRightInd w:val="0"/>
        <w:jc w:val="center"/>
        <w:outlineLvl w:val="1"/>
        <w:rPr>
          <w:b/>
          <w:i/>
          <w:sz w:val="28"/>
          <w:szCs w:val="28"/>
        </w:rPr>
      </w:pPr>
      <w:r w:rsidRPr="003850C3">
        <w:rPr>
          <w:b/>
          <w:i/>
          <w:sz w:val="28"/>
          <w:szCs w:val="28"/>
        </w:rPr>
        <w:t>Показатель «Доля многоквартирных домов, расположенных на земельных участках, в отношении которых осуществлен государственный кадастровый учет»</w:t>
      </w:r>
    </w:p>
    <w:p w:rsidR="00876445" w:rsidRPr="003850C3" w:rsidRDefault="00876445" w:rsidP="00FE46B4">
      <w:pPr>
        <w:widowControl w:val="0"/>
        <w:autoSpaceDE w:val="0"/>
        <w:autoSpaceDN w:val="0"/>
        <w:adjustRightInd w:val="0"/>
        <w:jc w:val="center"/>
        <w:outlineLvl w:val="1"/>
        <w:rPr>
          <w:b/>
          <w:i/>
          <w:sz w:val="28"/>
          <w:szCs w:val="28"/>
        </w:rPr>
      </w:pPr>
    </w:p>
    <w:p w:rsidR="00876445" w:rsidRPr="003850C3" w:rsidRDefault="00876445" w:rsidP="00876445">
      <w:pPr>
        <w:widowControl w:val="0"/>
        <w:autoSpaceDE w:val="0"/>
        <w:autoSpaceDN w:val="0"/>
        <w:adjustRightInd w:val="0"/>
        <w:ind w:firstLine="709"/>
        <w:jc w:val="both"/>
        <w:outlineLvl w:val="1"/>
        <w:rPr>
          <w:sz w:val="28"/>
          <w:szCs w:val="28"/>
        </w:rPr>
      </w:pPr>
      <w:r w:rsidRPr="003850C3">
        <w:rPr>
          <w:sz w:val="28"/>
          <w:szCs w:val="28"/>
        </w:rPr>
        <w:t xml:space="preserve">Все земельные участки под многоквартирными домами поставлены на государственный кадастровый учет. Строительство многоквартирных жилых домов осуществляется </w:t>
      </w:r>
      <w:r w:rsidR="006671AA" w:rsidRPr="003850C3">
        <w:rPr>
          <w:sz w:val="28"/>
          <w:szCs w:val="28"/>
        </w:rPr>
        <w:t>после постановки на государственный кадастровый учет земельных участков и предоставления их в аренду под строительство.</w:t>
      </w:r>
    </w:p>
    <w:p w:rsidR="006123C6" w:rsidRPr="003850C3" w:rsidRDefault="006123C6" w:rsidP="00876445">
      <w:pPr>
        <w:widowControl w:val="0"/>
        <w:autoSpaceDE w:val="0"/>
        <w:autoSpaceDN w:val="0"/>
        <w:adjustRightInd w:val="0"/>
        <w:ind w:firstLine="709"/>
        <w:jc w:val="both"/>
        <w:outlineLvl w:val="1"/>
        <w:rPr>
          <w:sz w:val="28"/>
          <w:szCs w:val="28"/>
        </w:rPr>
      </w:pPr>
    </w:p>
    <w:p w:rsidR="006123C6" w:rsidRPr="003850C3" w:rsidRDefault="006123C6" w:rsidP="006123C6">
      <w:pPr>
        <w:widowControl w:val="0"/>
        <w:autoSpaceDE w:val="0"/>
        <w:autoSpaceDN w:val="0"/>
        <w:adjustRightInd w:val="0"/>
        <w:jc w:val="center"/>
        <w:outlineLvl w:val="1"/>
        <w:rPr>
          <w:b/>
          <w:i/>
          <w:sz w:val="28"/>
          <w:szCs w:val="28"/>
        </w:rPr>
      </w:pPr>
      <w:r w:rsidRPr="003850C3">
        <w:rPr>
          <w:b/>
          <w:i/>
          <w:sz w:val="28"/>
          <w:szCs w:val="28"/>
        </w:rPr>
        <w:t>Показатель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123C6" w:rsidRPr="003850C3" w:rsidRDefault="006123C6" w:rsidP="006123C6">
      <w:pPr>
        <w:widowControl w:val="0"/>
        <w:autoSpaceDE w:val="0"/>
        <w:autoSpaceDN w:val="0"/>
        <w:adjustRightInd w:val="0"/>
        <w:ind w:firstLine="709"/>
        <w:jc w:val="both"/>
        <w:outlineLvl w:val="1"/>
        <w:rPr>
          <w:sz w:val="28"/>
          <w:szCs w:val="28"/>
        </w:rPr>
      </w:pPr>
      <w:r w:rsidRPr="003850C3">
        <w:rPr>
          <w:sz w:val="28"/>
          <w:szCs w:val="28"/>
        </w:rPr>
        <w:t xml:space="preserve">В 2018 году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составила 63,6% (2017 год – 60,1%). </w:t>
      </w:r>
    </w:p>
    <w:p w:rsidR="006123C6" w:rsidRPr="003850C3" w:rsidRDefault="006123C6" w:rsidP="006123C6">
      <w:pPr>
        <w:widowControl w:val="0"/>
        <w:autoSpaceDE w:val="0"/>
        <w:autoSpaceDN w:val="0"/>
        <w:adjustRightInd w:val="0"/>
        <w:ind w:firstLine="709"/>
        <w:jc w:val="both"/>
        <w:outlineLvl w:val="1"/>
        <w:rPr>
          <w:sz w:val="28"/>
          <w:szCs w:val="28"/>
        </w:rPr>
      </w:pPr>
      <w:r w:rsidRPr="003850C3">
        <w:rPr>
          <w:sz w:val="28"/>
          <w:szCs w:val="28"/>
        </w:rPr>
        <w:t xml:space="preserve">В Нижневартовском районе выстроена эффективная система, позволяющая привлекать дополнительные доходы. Регулярно проводится </w:t>
      </w:r>
      <w:r w:rsidR="0063616E" w:rsidRPr="003850C3">
        <w:rPr>
          <w:sz w:val="28"/>
          <w:szCs w:val="28"/>
        </w:rPr>
        <w:t>заседания комиссии по мобилизации дополнительных доходов в бюджет района. Работа комиссии направлена на выявление неучтенных хозяйствующих субъектов, в том числе обособленных подразделений, осуществляющих деятельность на территории района, а также погашение задолженности по налоговым и неналоговым платежам. Также разработан комплекс мероприятий, направленны</w:t>
      </w:r>
      <w:r w:rsidR="004A10F1" w:rsidRPr="003850C3">
        <w:rPr>
          <w:sz w:val="28"/>
          <w:szCs w:val="28"/>
        </w:rPr>
        <w:t>й</w:t>
      </w:r>
      <w:r w:rsidR="0063616E" w:rsidRPr="003850C3">
        <w:rPr>
          <w:sz w:val="28"/>
          <w:szCs w:val="28"/>
        </w:rPr>
        <w:t xml:space="preserve"> на увеличение доходов бюджета.</w:t>
      </w:r>
    </w:p>
    <w:p w:rsidR="00D57D78" w:rsidRPr="003850C3" w:rsidRDefault="00D57D78" w:rsidP="006123C6">
      <w:pPr>
        <w:widowControl w:val="0"/>
        <w:autoSpaceDE w:val="0"/>
        <w:autoSpaceDN w:val="0"/>
        <w:adjustRightInd w:val="0"/>
        <w:ind w:firstLine="709"/>
        <w:jc w:val="both"/>
        <w:outlineLvl w:val="1"/>
        <w:rPr>
          <w:sz w:val="28"/>
          <w:szCs w:val="28"/>
        </w:rPr>
      </w:pPr>
    </w:p>
    <w:p w:rsidR="00D57D78" w:rsidRPr="003850C3" w:rsidRDefault="00D57D78" w:rsidP="00C54F6E">
      <w:pPr>
        <w:pStyle w:val="a3"/>
        <w:widowControl w:val="0"/>
        <w:tabs>
          <w:tab w:val="left" w:pos="709"/>
        </w:tabs>
        <w:autoSpaceDE w:val="0"/>
        <w:autoSpaceDN w:val="0"/>
        <w:adjustRightInd w:val="0"/>
        <w:spacing w:after="0" w:line="240" w:lineRule="auto"/>
        <w:ind w:left="709"/>
        <w:contextualSpacing/>
        <w:jc w:val="center"/>
        <w:rPr>
          <w:rFonts w:ascii="Times New Roman" w:hAnsi="Times New Roman" w:cs="Times New Roman"/>
          <w:b/>
          <w:i/>
          <w:sz w:val="28"/>
          <w:szCs w:val="28"/>
        </w:rPr>
      </w:pPr>
      <w:r w:rsidRPr="003850C3">
        <w:rPr>
          <w:rFonts w:ascii="Times New Roman" w:hAnsi="Times New Roman" w:cs="Times New Roman"/>
          <w:b/>
          <w:i/>
          <w:sz w:val="28"/>
          <w:szCs w:val="28"/>
        </w:rPr>
        <w:t>Показатель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D57D78" w:rsidRPr="003850C3" w:rsidRDefault="00D57D78" w:rsidP="00C54F6E">
      <w:pPr>
        <w:widowControl w:val="0"/>
        <w:tabs>
          <w:tab w:val="left" w:pos="709"/>
        </w:tabs>
        <w:autoSpaceDE w:val="0"/>
        <w:autoSpaceDN w:val="0"/>
        <w:adjustRightInd w:val="0"/>
        <w:ind w:firstLine="709"/>
        <w:jc w:val="both"/>
        <w:outlineLvl w:val="1"/>
        <w:rPr>
          <w:sz w:val="28"/>
          <w:szCs w:val="28"/>
        </w:rPr>
      </w:pPr>
      <w:r w:rsidRPr="003850C3">
        <w:rPr>
          <w:sz w:val="28"/>
          <w:szCs w:val="28"/>
        </w:rPr>
        <w:t>Доля основных фондов организаций муниципальной формы собственности, находящихся в стадии банкротства, в муниципальном образовании Нижневартовский район отсутствует.</w:t>
      </w:r>
    </w:p>
    <w:p w:rsidR="00D57D78" w:rsidRPr="003850C3" w:rsidRDefault="00D57D78" w:rsidP="00C54F6E">
      <w:pPr>
        <w:widowControl w:val="0"/>
        <w:tabs>
          <w:tab w:val="left" w:pos="709"/>
        </w:tabs>
        <w:autoSpaceDE w:val="0"/>
        <w:autoSpaceDN w:val="0"/>
        <w:adjustRightInd w:val="0"/>
        <w:ind w:firstLine="709"/>
        <w:jc w:val="both"/>
        <w:rPr>
          <w:bCs/>
          <w:color w:val="FF0000"/>
          <w:lang w:eastAsia="en-US"/>
        </w:rPr>
      </w:pPr>
    </w:p>
    <w:p w:rsidR="00D57D78" w:rsidRPr="003850C3" w:rsidRDefault="00C54F6E" w:rsidP="00C54F6E">
      <w:pPr>
        <w:pStyle w:val="a3"/>
        <w:widowControl w:val="0"/>
        <w:tabs>
          <w:tab w:val="left" w:pos="709"/>
        </w:tabs>
        <w:autoSpaceDE w:val="0"/>
        <w:autoSpaceDN w:val="0"/>
        <w:adjustRightInd w:val="0"/>
        <w:spacing w:after="0" w:line="240" w:lineRule="auto"/>
        <w:ind w:left="709"/>
        <w:contextualSpacing/>
        <w:jc w:val="center"/>
        <w:rPr>
          <w:rFonts w:ascii="Times New Roman" w:hAnsi="Times New Roman" w:cs="Times New Roman"/>
          <w:b/>
          <w:i/>
          <w:sz w:val="28"/>
          <w:szCs w:val="28"/>
        </w:rPr>
      </w:pPr>
      <w:r w:rsidRPr="003850C3">
        <w:rPr>
          <w:rFonts w:ascii="Times New Roman" w:hAnsi="Times New Roman" w:cs="Times New Roman"/>
          <w:b/>
          <w:i/>
          <w:sz w:val="28"/>
          <w:szCs w:val="28"/>
        </w:rPr>
        <w:t>Показатель</w:t>
      </w:r>
      <w:r w:rsidR="00D57D78" w:rsidRPr="003850C3">
        <w:rPr>
          <w:rFonts w:ascii="Times New Roman" w:hAnsi="Times New Roman" w:cs="Times New Roman"/>
          <w:b/>
          <w:i/>
          <w:sz w:val="28"/>
          <w:szCs w:val="28"/>
        </w:rPr>
        <w:t xml:space="preserve"> «Объем незавершенного в установленные сроки строительства, осуществляемого за счет средств бюджета городского округа (муниципального района)»</w:t>
      </w:r>
    </w:p>
    <w:p w:rsidR="00D57D78" w:rsidRPr="003850C3" w:rsidRDefault="00D57D78" w:rsidP="00C54F6E">
      <w:pPr>
        <w:widowControl w:val="0"/>
        <w:tabs>
          <w:tab w:val="left" w:pos="709"/>
        </w:tabs>
        <w:autoSpaceDE w:val="0"/>
        <w:autoSpaceDN w:val="0"/>
        <w:adjustRightInd w:val="0"/>
        <w:ind w:firstLine="709"/>
        <w:jc w:val="both"/>
        <w:rPr>
          <w:sz w:val="28"/>
          <w:szCs w:val="28"/>
        </w:rPr>
      </w:pPr>
      <w:r w:rsidRPr="003850C3">
        <w:rPr>
          <w:sz w:val="28"/>
          <w:szCs w:val="28"/>
        </w:rPr>
        <w:t xml:space="preserve">На территории </w:t>
      </w:r>
      <w:r w:rsidR="00A6597F" w:rsidRPr="003850C3">
        <w:rPr>
          <w:sz w:val="28"/>
          <w:szCs w:val="28"/>
        </w:rPr>
        <w:t>Нижневартовского</w:t>
      </w:r>
      <w:r w:rsidRPr="003850C3">
        <w:rPr>
          <w:sz w:val="28"/>
          <w:szCs w:val="28"/>
        </w:rPr>
        <w:t xml:space="preserve"> района отсутствуют объекты незавершенного в установленные сроки капитального строительства</w:t>
      </w:r>
      <w:r w:rsidR="00120946" w:rsidRPr="003850C3">
        <w:rPr>
          <w:sz w:val="28"/>
          <w:szCs w:val="28"/>
        </w:rPr>
        <w:t>,</w:t>
      </w:r>
      <w:r w:rsidR="00120946" w:rsidRPr="003850C3">
        <w:rPr>
          <w:b/>
          <w:i/>
          <w:sz w:val="28"/>
          <w:szCs w:val="28"/>
        </w:rPr>
        <w:t xml:space="preserve"> </w:t>
      </w:r>
      <w:r w:rsidR="00120946" w:rsidRPr="003850C3">
        <w:rPr>
          <w:sz w:val="28"/>
          <w:szCs w:val="28"/>
        </w:rPr>
        <w:t>осуществляемые за счет средств бюджета района</w:t>
      </w:r>
      <w:r w:rsidRPr="003850C3">
        <w:rPr>
          <w:sz w:val="28"/>
          <w:szCs w:val="28"/>
        </w:rPr>
        <w:t>.</w:t>
      </w:r>
    </w:p>
    <w:p w:rsidR="006123C6" w:rsidRPr="003850C3" w:rsidRDefault="006123C6" w:rsidP="00C54F6E">
      <w:pPr>
        <w:widowControl w:val="0"/>
        <w:tabs>
          <w:tab w:val="left" w:pos="709"/>
        </w:tabs>
        <w:autoSpaceDE w:val="0"/>
        <w:autoSpaceDN w:val="0"/>
        <w:adjustRightInd w:val="0"/>
        <w:ind w:firstLine="709"/>
        <w:jc w:val="both"/>
        <w:outlineLvl w:val="1"/>
        <w:rPr>
          <w:sz w:val="28"/>
          <w:szCs w:val="28"/>
        </w:rPr>
      </w:pPr>
    </w:p>
    <w:p w:rsidR="00525901" w:rsidRPr="003850C3" w:rsidRDefault="00525901" w:rsidP="00525901">
      <w:pPr>
        <w:widowControl w:val="0"/>
        <w:autoSpaceDE w:val="0"/>
        <w:autoSpaceDN w:val="0"/>
        <w:adjustRightInd w:val="0"/>
        <w:ind w:firstLine="709"/>
        <w:jc w:val="center"/>
        <w:rPr>
          <w:b/>
          <w:i/>
          <w:sz w:val="28"/>
          <w:szCs w:val="28"/>
        </w:rPr>
      </w:pPr>
      <w:r w:rsidRPr="003850C3">
        <w:rPr>
          <w:b/>
          <w:i/>
          <w:sz w:val="28"/>
          <w:szCs w:val="28"/>
        </w:rPr>
        <w:t>Информация по дополнительным показателям, включенная в доклад главы Нижневартовского района о достигнутых значениях показателей для оценки эффективности деятельности органов местного самоуправления на 201</w:t>
      </w:r>
      <w:r w:rsidR="009A30C0" w:rsidRPr="003850C3">
        <w:rPr>
          <w:b/>
          <w:i/>
          <w:sz w:val="28"/>
          <w:szCs w:val="28"/>
        </w:rPr>
        <w:t>8</w:t>
      </w:r>
      <w:r w:rsidRPr="003850C3">
        <w:rPr>
          <w:b/>
          <w:i/>
          <w:sz w:val="28"/>
          <w:szCs w:val="28"/>
        </w:rPr>
        <w:t xml:space="preserve"> год и их планируемых значениях на 3-летний период.</w:t>
      </w:r>
    </w:p>
    <w:p w:rsidR="00525901" w:rsidRPr="003850C3" w:rsidRDefault="00525901" w:rsidP="00525901">
      <w:pPr>
        <w:widowControl w:val="0"/>
        <w:autoSpaceDE w:val="0"/>
        <w:autoSpaceDN w:val="0"/>
        <w:adjustRightInd w:val="0"/>
        <w:ind w:firstLine="709"/>
        <w:jc w:val="center"/>
        <w:rPr>
          <w:b/>
          <w:sz w:val="28"/>
          <w:szCs w:val="28"/>
        </w:rPr>
      </w:pPr>
    </w:p>
    <w:p w:rsidR="00525901" w:rsidRPr="003850C3" w:rsidRDefault="00525901" w:rsidP="00525901">
      <w:pPr>
        <w:widowControl w:val="0"/>
        <w:autoSpaceDE w:val="0"/>
        <w:autoSpaceDN w:val="0"/>
        <w:adjustRightInd w:val="0"/>
        <w:ind w:firstLine="709"/>
        <w:jc w:val="center"/>
        <w:rPr>
          <w:sz w:val="28"/>
          <w:szCs w:val="28"/>
        </w:rPr>
      </w:pPr>
      <w:r w:rsidRPr="003850C3">
        <w:rPr>
          <w:b/>
          <w:sz w:val="28"/>
          <w:szCs w:val="28"/>
        </w:rPr>
        <w:t>Охрана прав граждан и юридических лиц</w:t>
      </w:r>
    </w:p>
    <w:p w:rsidR="002F4151" w:rsidRPr="003850C3" w:rsidRDefault="002F4151" w:rsidP="002F4151">
      <w:pPr>
        <w:widowControl w:val="0"/>
        <w:autoSpaceDE w:val="0"/>
        <w:autoSpaceDN w:val="0"/>
        <w:adjustRightInd w:val="0"/>
        <w:ind w:firstLine="720"/>
        <w:jc w:val="both"/>
        <w:outlineLvl w:val="1"/>
        <w:rPr>
          <w:sz w:val="28"/>
          <w:szCs w:val="28"/>
        </w:rPr>
      </w:pPr>
      <w:r w:rsidRPr="003850C3">
        <w:rPr>
          <w:sz w:val="28"/>
          <w:szCs w:val="28"/>
        </w:rPr>
        <w:t>Заявления о признании незаконными правовых актов, решений и действий (бездействия) органов местного самоуправления, организаций и их должностных лиц в 2018  году не поступали.</w:t>
      </w:r>
    </w:p>
    <w:p w:rsidR="002F4151" w:rsidRPr="002F4151" w:rsidRDefault="002F4151" w:rsidP="002F4151">
      <w:pPr>
        <w:widowControl w:val="0"/>
        <w:autoSpaceDE w:val="0"/>
        <w:autoSpaceDN w:val="0"/>
        <w:adjustRightInd w:val="0"/>
        <w:ind w:firstLine="720"/>
        <w:jc w:val="both"/>
        <w:outlineLvl w:val="1"/>
        <w:rPr>
          <w:sz w:val="28"/>
          <w:szCs w:val="28"/>
        </w:rPr>
      </w:pPr>
      <w:r w:rsidRPr="003850C3">
        <w:rPr>
          <w:sz w:val="28"/>
          <w:szCs w:val="28"/>
        </w:rPr>
        <w:t>Вступивших в законную силу решений судов о признании незаконными правовых актов, решений и действий (бездействия) органов местного самоуправления, организаций и их должностных лиц, в 2018 году не имеется.</w:t>
      </w:r>
    </w:p>
    <w:p w:rsidR="002F4151" w:rsidRPr="00A13929" w:rsidRDefault="002F4151" w:rsidP="00525901">
      <w:pPr>
        <w:widowControl w:val="0"/>
        <w:autoSpaceDE w:val="0"/>
        <w:autoSpaceDN w:val="0"/>
        <w:adjustRightInd w:val="0"/>
        <w:ind w:firstLine="720"/>
        <w:jc w:val="both"/>
        <w:outlineLvl w:val="1"/>
        <w:rPr>
          <w:sz w:val="28"/>
          <w:szCs w:val="28"/>
        </w:rPr>
      </w:pPr>
    </w:p>
    <w:p w:rsidR="002350F6" w:rsidRDefault="002350F6" w:rsidP="00525901">
      <w:pPr>
        <w:jc w:val="both"/>
        <w:rPr>
          <w:sz w:val="28"/>
          <w:szCs w:val="28"/>
        </w:rPr>
      </w:pPr>
    </w:p>
    <w:p w:rsidR="002350F6" w:rsidRDefault="002350F6" w:rsidP="00525901">
      <w:pPr>
        <w:jc w:val="both"/>
        <w:rPr>
          <w:sz w:val="28"/>
          <w:szCs w:val="28"/>
        </w:rPr>
      </w:pPr>
    </w:p>
    <w:p w:rsidR="00525901" w:rsidRDefault="00525901" w:rsidP="00525901">
      <w:pPr>
        <w:jc w:val="both"/>
        <w:rPr>
          <w:sz w:val="28"/>
          <w:szCs w:val="28"/>
        </w:rPr>
      </w:pPr>
      <w:r w:rsidRPr="00F5636D">
        <w:rPr>
          <w:sz w:val="28"/>
          <w:szCs w:val="28"/>
        </w:rPr>
        <w:t xml:space="preserve">        </w:t>
      </w:r>
    </w:p>
    <w:p w:rsidR="00525901" w:rsidRDefault="00525901" w:rsidP="00F3578E">
      <w:pPr>
        <w:widowControl w:val="0"/>
        <w:autoSpaceDE w:val="0"/>
        <w:autoSpaceDN w:val="0"/>
        <w:adjustRightInd w:val="0"/>
        <w:ind w:left="-720"/>
        <w:jc w:val="center"/>
        <w:outlineLvl w:val="1"/>
        <w:rPr>
          <w:b/>
          <w:i/>
          <w:sz w:val="28"/>
          <w:szCs w:val="28"/>
        </w:rPr>
      </w:pPr>
    </w:p>
    <w:p w:rsidR="00525901" w:rsidRDefault="00525901" w:rsidP="00F3578E">
      <w:pPr>
        <w:widowControl w:val="0"/>
        <w:autoSpaceDE w:val="0"/>
        <w:autoSpaceDN w:val="0"/>
        <w:adjustRightInd w:val="0"/>
        <w:ind w:left="-720"/>
        <w:jc w:val="center"/>
        <w:outlineLvl w:val="1"/>
        <w:rPr>
          <w:b/>
          <w:i/>
          <w:sz w:val="28"/>
          <w:szCs w:val="28"/>
        </w:rPr>
      </w:pPr>
    </w:p>
    <w:p w:rsidR="00525901" w:rsidRDefault="00525901" w:rsidP="00F3578E">
      <w:pPr>
        <w:widowControl w:val="0"/>
        <w:autoSpaceDE w:val="0"/>
        <w:autoSpaceDN w:val="0"/>
        <w:adjustRightInd w:val="0"/>
        <w:ind w:left="-720"/>
        <w:jc w:val="center"/>
        <w:outlineLvl w:val="1"/>
        <w:rPr>
          <w:b/>
          <w:i/>
          <w:sz w:val="28"/>
          <w:szCs w:val="28"/>
        </w:rPr>
      </w:pPr>
    </w:p>
    <w:p w:rsidR="00525901" w:rsidRDefault="00525901" w:rsidP="00F3578E">
      <w:pPr>
        <w:widowControl w:val="0"/>
        <w:autoSpaceDE w:val="0"/>
        <w:autoSpaceDN w:val="0"/>
        <w:adjustRightInd w:val="0"/>
        <w:ind w:left="-720"/>
        <w:jc w:val="center"/>
        <w:outlineLvl w:val="1"/>
        <w:rPr>
          <w:b/>
          <w:i/>
          <w:sz w:val="28"/>
          <w:szCs w:val="28"/>
        </w:rPr>
      </w:pPr>
    </w:p>
    <w:sectPr w:rsidR="00525901" w:rsidSect="00262881">
      <w:pgSz w:w="11906" w:h="16838" w:code="9"/>
      <w:pgMar w:top="1134" w:right="567"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FB" w:rsidRDefault="00585FFB">
      <w:r>
        <w:separator/>
      </w:r>
    </w:p>
  </w:endnote>
  <w:endnote w:type="continuationSeparator" w:id="0">
    <w:p w:rsidR="00585FFB" w:rsidRDefault="0058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FB" w:rsidRDefault="00585FFB">
      <w:r>
        <w:separator/>
      </w:r>
    </w:p>
  </w:footnote>
  <w:footnote w:type="continuationSeparator" w:id="0">
    <w:p w:rsidR="00585FFB" w:rsidRDefault="00585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874F5"/>
    <w:multiLevelType w:val="hybridMultilevel"/>
    <w:tmpl w:val="48E017B8"/>
    <w:lvl w:ilvl="0" w:tplc="AAAE7B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B31655A"/>
    <w:multiLevelType w:val="hybridMultilevel"/>
    <w:tmpl w:val="49F0D92E"/>
    <w:lvl w:ilvl="0" w:tplc="D19A9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60"/>
    <w:rsid w:val="00001544"/>
    <w:rsid w:val="00001F1D"/>
    <w:rsid w:val="0001191B"/>
    <w:rsid w:val="00013405"/>
    <w:rsid w:val="000168DE"/>
    <w:rsid w:val="0004666A"/>
    <w:rsid w:val="0005435A"/>
    <w:rsid w:val="000645F9"/>
    <w:rsid w:val="000739F8"/>
    <w:rsid w:val="000768EA"/>
    <w:rsid w:val="00083007"/>
    <w:rsid w:val="0008303E"/>
    <w:rsid w:val="00090733"/>
    <w:rsid w:val="000937AF"/>
    <w:rsid w:val="00096871"/>
    <w:rsid w:val="000A7CEA"/>
    <w:rsid w:val="000B1477"/>
    <w:rsid w:val="000B4281"/>
    <w:rsid w:val="000F1CE9"/>
    <w:rsid w:val="000F23E7"/>
    <w:rsid w:val="000F3505"/>
    <w:rsid w:val="000F4F04"/>
    <w:rsid w:val="00101CC3"/>
    <w:rsid w:val="001048F1"/>
    <w:rsid w:val="0011352B"/>
    <w:rsid w:val="00114976"/>
    <w:rsid w:val="00120946"/>
    <w:rsid w:val="00121116"/>
    <w:rsid w:val="00123329"/>
    <w:rsid w:val="00134FDB"/>
    <w:rsid w:val="00140F18"/>
    <w:rsid w:val="001464B7"/>
    <w:rsid w:val="0015744D"/>
    <w:rsid w:val="00163407"/>
    <w:rsid w:val="00164540"/>
    <w:rsid w:val="00165E3C"/>
    <w:rsid w:val="0017061C"/>
    <w:rsid w:val="00183F8B"/>
    <w:rsid w:val="001A7860"/>
    <w:rsid w:val="001B09DC"/>
    <w:rsid w:val="001B4DB9"/>
    <w:rsid w:val="001B575D"/>
    <w:rsid w:val="001B7284"/>
    <w:rsid w:val="001B7F18"/>
    <w:rsid w:val="001C7CF2"/>
    <w:rsid w:val="001D2D13"/>
    <w:rsid w:val="001E4379"/>
    <w:rsid w:val="001E4765"/>
    <w:rsid w:val="001E705E"/>
    <w:rsid w:val="001F6249"/>
    <w:rsid w:val="002026B5"/>
    <w:rsid w:val="0022310C"/>
    <w:rsid w:val="0022711C"/>
    <w:rsid w:val="0023093D"/>
    <w:rsid w:val="002344E5"/>
    <w:rsid w:val="002350F6"/>
    <w:rsid w:val="00240193"/>
    <w:rsid w:val="00240F1F"/>
    <w:rsid w:val="002429A9"/>
    <w:rsid w:val="00246F2A"/>
    <w:rsid w:val="002512E5"/>
    <w:rsid w:val="002533C8"/>
    <w:rsid w:val="00255399"/>
    <w:rsid w:val="002609A4"/>
    <w:rsid w:val="00262881"/>
    <w:rsid w:val="0026455F"/>
    <w:rsid w:val="002668DB"/>
    <w:rsid w:val="002714CE"/>
    <w:rsid w:val="00283043"/>
    <w:rsid w:val="00285A1D"/>
    <w:rsid w:val="00291E28"/>
    <w:rsid w:val="002943B6"/>
    <w:rsid w:val="002A2F13"/>
    <w:rsid w:val="002A5B2E"/>
    <w:rsid w:val="002B055D"/>
    <w:rsid w:val="002E08A1"/>
    <w:rsid w:val="002F4151"/>
    <w:rsid w:val="002F4D45"/>
    <w:rsid w:val="00302C5A"/>
    <w:rsid w:val="00303547"/>
    <w:rsid w:val="00303A10"/>
    <w:rsid w:val="0031269F"/>
    <w:rsid w:val="00320859"/>
    <w:rsid w:val="00321CFE"/>
    <w:rsid w:val="00327D57"/>
    <w:rsid w:val="00327E6F"/>
    <w:rsid w:val="003350A7"/>
    <w:rsid w:val="00354A7B"/>
    <w:rsid w:val="00362E9A"/>
    <w:rsid w:val="003676FD"/>
    <w:rsid w:val="00367F28"/>
    <w:rsid w:val="0037543A"/>
    <w:rsid w:val="003839B9"/>
    <w:rsid w:val="003850C3"/>
    <w:rsid w:val="0038693B"/>
    <w:rsid w:val="003A640A"/>
    <w:rsid w:val="003D10BF"/>
    <w:rsid w:val="003E5CB0"/>
    <w:rsid w:val="00402280"/>
    <w:rsid w:val="00416361"/>
    <w:rsid w:val="00417E80"/>
    <w:rsid w:val="00441C54"/>
    <w:rsid w:val="00466431"/>
    <w:rsid w:val="00477A6E"/>
    <w:rsid w:val="00485C77"/>
    <w:rsid w:val="004A10F1"/>
    <w:rsid w:val="004C401D"/>
    <w:rsid w:val="004C4F40"/>
    <w:rsid w:val="004C7DDA"/>
    <w:rsid w:val="004F0557"/>
    <w:rsid w:val="00504571"/>
    <w:rsid w:val="0052140A"/>
    <w:rsid w:val="00521D50"/>
    <w:rsid w:val="0052454D"/>
    <w:rsid w:val="00525901"/>
    <w:rsid w:val="00543193"/>
    <w:rsid w:val="00551100"/>
    <w:rsid w:val="00556677"/>
    <w:rsid w:val="00557186"/>
    <w:rsid w:val="00561915"/>
    <w:rsid w:val="00572E87"/>
    <w:rsid w:val="00573D80"/>
    <w:rsid w:val="00581880"/>
    <w:rsid w:val="005853F2"/>
    <w:rsid w:val="00585A48"/>
    <w:rsid w:val="00585FFB"/>
    <w:rsid w:val="005A57AD"/>
    <w:rsid w:val="005A72D3"/>
    <w:rsid w:val="005B1D9D"/>
    <w:rsid w:val="005B4F9F"/>
    <w:rsid w:val="005C7495"/>
    <w:rsid w:val="005D423D"/>
    <w:rsid w:val="005F0409"/>
    <w:rsid w:val="005F32F4"/>
    <w:rsid w:val="005F58E9"/>
    <w:rsid w:val="006021BB"/>
    <w:rsid w:val="006049DD"/>
    <w:rsid w:val="006123C6"/>
    <w:rsid w:val="00622E66"/>
    <w:rsid w:val="006233BA"/>
    <w:rsid w:val="006317DC"/>
    <w:rsid w:val="0063616E"/>
    <w:rsid w:val="0066183A"/>
    <w:rsid w:val="00665DAA"/>
    <w:rsid w:val="006671AA"/>
    <w:rsid w:val="00672681"/>
    <w:rsid w:val="00674E71"/>
    <w:rsid w:val="00691AD4"/>
    <w:rsid w:val="006B1882"/>
    <w:rsid w:val="006B320D"/>
    <w:rsid w:val="006B6E09"/>
    <w:rsid w:val="006C4EA3"/>
    <w:rsid w:val="006C5A02"/>
    <w:rsid w:val="006C7485"/>
    <w:rsid w:val="006D4B68"/>
    <w:rsid w:val="006D6950"/>
    <w:rsid w:val="006D7D25"/>
    <w:rsid w:val="006E3F37"/>
    <w:rsid w:val="006E6A53"/>
    <w:rsid w:val="006F26B7"/>
    <w:rsid w:val="006F7011"/>
    <w:rsid w:val="00707F16"/>
    <w:rsid w:val="007136A1"/>
    <w:rsid w:val="007140E8"/>
    <w:rsid w:val="00724CCB"/>
    <w:rsid w:val="0073106E"/>
    <w:rsid w:val="00731EC9"/>
    <w:rsid w:val="0074493A"/>
    <w:rsid w:val="007541D9"/>
    <w:rsid w:val="00754DEC"/>
    <w:rsid w:val="00755DEF"/>
    <w:rsid w:val="007668E3"/>
    <w:rsid w:val="00770E83"/>
    <w:rsid w:val="0078273E"/>
    <w:rsid w:val="007A1EFD"/>
    <w:rsid w:val="007A6561"/>
    <w:rsid w:val="007B72D0"/>
    <w:rsid w:val="007C211D"/>
    <w:rsid w:val="007D2FEC"/>
    <w:rsid w:val="007D617B"/>
    <w:rsid w:val="007F2D27"/>
    <w:rsid w:val="007F6061"/>
    <w:rsid w:val="00802EE4"/>
    <w:rsid w:val="0081006F"/>
    <w:rsid w:val="0082479D"/>
    <w:rsid w:val="008652D0"/>
    <w:rsid w:val="00876445"/>
    <w:rsid w:val="00882DDF"/>
    <w:rsid w:val="008869AA"/>
    <w:rsid w:val="008915CD"/>
    <w:rsid w:val="0089794D"/>
    <w:rsid w:val="008A5A2F"/>
    <w:rsid w:val="008C1E0A"/>
    <w:rsid w:val="008D6BBE"/>
    <w:rsid w:val="008D6D74"/>
    <w:rsid w:val="008D77AB"/>
    <w:rsid w:val="008F450F"/>
    <w:rsid w:val="009066E2"/>
    <w:rsid w:val="009076F4"/>
    <w:rsid w:val="00907BF6"/>
    <w:rsid w:val="0091147D"/>
    <w:rsid w:val="00912605"/>
    <w:rsid w:val="00931D84"/>
    <w:rsid w:val="00932FD6"/>
    <w:rsid w:val="009454AB"/>
    <w:rsid w:val="009553BC"/>
    <w:rsid w:val="00957830"/>
    <w:rsid w:val="0096783E"/>
    <w:rsid w:val="0096799E"/>
    <w:rsid w:val="0097032F"/>
    <w:rsid w:val="0098754C"/>
    <w:rsid w:val="0099332F"/>
    <w:rsid w:val="0099376E"/>
    <w:rsid w:val="00993D62"/>
    <w:rsid w:val="009A22F9"/>
    <w:rsid w:val="009A30C0"/>
    <w:rsid w:val="009C5A61"/>
    <w:rsid w:val="009D0062"/>
    <w:rsid w:val="009D6BBC"/>
    <w:rsid w:val="009E2072"/>
    <w:rsid w:val="009F0551"/>
    <w:rsid w:val="009F3513"/>
    <w:rsid w:val="009F4AF8"/>
    <w:rsid w:val="009F5C57"/>
    <w:rsid w:val="009F7698"/>
    <w:rsid w:val="00A1308F"/>
    <w:rsid w:val="00A13DEA"/>
    <w:rsid w:val="00A15B11"/>
    <w:rsid w:val="00A16DE8"/>
    <w:rsid w:val="00A20045"/>
    <w:rsid w:val="00A231E3"/>
    <w:rsid w:val="00A348FB"/>
    <w:rsid w:val="00A4258A"/>
    <w:rsid w:val="00A428B7"/>
    <w:rsid w:val="00A5383E"/>
    <w:rsid w:val="00A62011"/>
    <w:rsid w:val="00A62102"/>
    <w:rsid w:val="00A6597F"/>
    <w:rsid w:val="00A6746E"/>
    <w:rsid w:val="00A67F7E"/>
    <w:rsid w:val="00A73AC5"/>
    <w:rsid w:val="00A80FC5"/>
    <w:rsid w:val="00A91115"/>
    <w:rsid w:val="00A9639F"/>
    <w:rsid w:val="00AE0898"/>
    <w:rsid w:val="00AE1587"/>
    <w:rsid w:val="00AE7C95"/>
    <w:rsid w:val="00AF5E0F"/>
    <w:rsid w:val="00B07449"/>
    <w:rsid w:val="00B50F43"/>
    <w:rsid w:val="00B51CA7"/>
    <w:rsid w:val="00B60494"/>
    <w:rsid w:val="00B65377"/>
    <w:rsid w:val="00B662AB"/>
    <w:rsid w:val="00B714C5"/>
    <w:rsid w:val="00B73B1E"/>
    <w:rsid w:val="00B92333"/>
    <w:rsid w:val="00B96004"/>
    <w:rsid w:val="00BA749D"/>
    <w:rsid w:val="00BB2B6D"/>
    <w:rsid w:val="00BB625B"/>
    <w:rsid w:val="00BB784B"/>
    <w:rsid w:val="00BC16CB"/>
    <w:rsid w:val="00BD17B2"/>
    <w:rsid w:val="00BD1CF2"/>
    <w:rsid w:val="00BD2562"/>
    <w:rsid w:val="00BD2BB7"/>
    <w:rsid w:val="00BD73C3"/>
    <w:rsid w:val="00BE0940"/>
    <w:rsid w:val="00BE2709"/>
    <w:rsid w:val="00BF5CCA"/>
    <w:rsid w:val="00C0185A"/>
    <w:rsid w:val="00C04860"/>
    <w:rsid w:val="00C0514D"/>
    <w:rsid w:val="00C0549F"/>
    <w:rsid w:val="00C070B3"/>
    <w:rsid w:val="00C07509"/>
    <w:rsid w:val="00C12AF3"/>
    <w:rsid w:val="00C24D0D"/>
    <w:rsid w:val="00C35C82"/>
    <w:rsid w:val="00C42D7A"/>
    <w:rsid w:val="00C54F6E"/>
    <w:rsid w:val="00C71A45"/>
    <w:rsid w:val="00C931FE"/>
    <w:rsid w:val="00CC417F"/>
    <w:rsid w:val="00CC772E"/>
    <w:rsid w:val="00CD1AFE"/>
    <w:rsid w:val="00D0126A"/>
    <w:rsid w:val="00D14177"/>
    <w:rsid w:val="00D16312"/>
    <w:rsid w:val="00D16D12"/>
    <w:rsid w:val="00D30518"/>
    <w:rsid w:val="00D32DBD"/>
    <w:rsid w:val="00D44725"/>
    <w:rsid w:val="00D57D78"/>
    <w:rsid w:val="00D64ABA"/>
    <w:rsid w:val="00D733E1"/>
    <w:rsid w:val="00D75C5D"/>
    <w:rsid w:val="00D801C5"/>
    <w:rsid w:val="00D81442"/>
    <w:rsid w:val="00D95094"/>
    <w:rsid w:val="00DB604F"/>
    <w:rsid w:val="00DC0DA9"/>
    <w:rsid w:val="00DC2549"/>
    <w:rsid w:val="00DC68F4"/>
    <w:rsid w:val="00DE63DE"/>
    <w:rsid w:val="00DF26D1"/>
    <w:rsid w:val="00E128B3"/>
    <w:rsid w:val="00E140E8"/>
    <w:rsid w:val="00E178BA"/>
    <w:rsid w:val="00E20578"/>
    <w:rsid w:val="00E23D9E"/>
    <w:rsid w:val="00E270B0"/>
    <w:rsid w:val="00E33EB3"/>
    <w:rsid w:val="00E43BFD"/>
    <w:rsid w:val="00E6096B"/>
    <w:rsid w:val="00E6119F"/>
    <w:rsid w:val="00E64D29"/>
    <w:rsid w:val="00E7432B"/>
    <w:rsid w:val="00E76163"/>
    <w:rsid w:val="00E851E3"/>
    <w:rsid w:val="00E91C3A"/>
    <w:rsid w:val="00E95398"/>
    <w:rsid w:val="00E95C95"/>
    <w:rsid w:val="00E9625D"/>
    <w:rsid w:val="00E97970"/>
    <w:rsid w:val="00EA7981"/>
    <w:rsid w:val="00EB1A12"/>
    <w:rsid w:val="00EB28F5"/>
    <w:rsid w:val="00EB6A43"/>
    <w:rsid w:val="00EC35D0"/>
    <w:rsid w:val="00ED2077"/>
    <w:rsid w:val="00EE57A9"/>
    <w:rsid w:val="00EE6697"/>
    <w:rsid w:val="00EE6722"/>
    <w:rsid w:val="00EF5C59"/>
    <w:rsid w:val="00F02912"/>
    <w:rsid w:val="00F05683"/>
    <w:rsid w:val="00F05BC3"/>
    <w:rsid w:val="00F173C1"/>
    <w:rsid w:val="00F25C64"/>
    <w:rsid w:val="00F27193"/>
    <w:rsid w:val="00F32A2E"/>
    <w:rsid w:val="00F3578E"/>
    <w:rsid w:val="00F41838"/>
    <w:rsid w:val="00F44851"/>
    <w:rsid w:val="00F5186C"/>
    <w:rsid w:val="00F528AB"/>
    <w:rsid w:val="00F56723"/>
    <w:rsid w:val="00F6142D"/>
    <w:rsid w:val="00F669D0"/>
    <w:rsid w:val="00F72323"/>
    <w:rsid w:val="00F91ADC"/>
    <w:rsid w:val="00F93260"/>
    <w:rsid w:val="00F94900"/>
    <w:rsid w:val="00FA0EEA"/>
    <w:rsid w:val="00FA38DB"/>
    <w:rsid w:val="00FB4DEF"/>
    <w:rsid w:val="00FB6187"/>
    <w:rsid w:val="00FB62A1"/>
    <w:rsid w:val="00FB71B3"/>
    <w:rsid w:val="00FC7E78"/>
    <w:rsid w:val="00FD7BB1"/>
    <w:rsid w:val="00FE0FF9"/>
    <w:rsid w:val="00FE2B7C"/>
    <w:rsid w:val="00FE46B4"/>
    <w:rsid w:val="00FF4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FF1A5-BC8C-4DB8-8F21-884AA6B4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8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801C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uiPriority w:val="99"/>
    <w:rsid w:val="001A78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uiPriority w:val="99"/>
    <w:rsid w:val="001A7860"/>
    <w:rPr>
      <w:rFonts w:ascii="Arial" w:eastAsia="Times New Roman" w:hAnsi="Arial" w:cs="Arial"/>
      <w:b/>
      <w:bCs/>
      <w:sz w:val="20"/>
      <w:szCs w:val="20"/>
      <w:lang w:eastAsia="ru-RU"/>
    </w:rPr>
  </w:style>
  <w:style w:type="paragraph" w:styleId="a3">
    <w:name w:val="List Paragraph"/>
    <w:basedOn w:val="a"/>
    <w:uiPriority w:val="34"/>
    <w:qFormat/>
    <w:rsid w:val="001A7860"/>
    <w:pPr>
      <w:spacing w:after="200" w:line="276" w:lineRule="auto"/>
      <w:ind w:left="720"/>
    </w:pPr>
    <w:rPr>
      <w:rFonts w:ascii="Calibri" w:hAnsi="Calibri" w:cs="Calibri"/>
      <w:sz w:val="22"/>
      <w:szCs w:val="22"/>
    </w:rPr>
  </w:style>
  <w:style w:type="character" w:styleId="a4">
    <w:name w:val="Hyperlink"/>
    <w:basedOn w:val="a0"/>
    <w:rsid w:val="001A7860"/>
    <w:rPr>
      <w:color w:val="0000FF"/>
      <w:u w:val="single"/>
    </w:rPr>
  </w:style>
  <w:style w:type="table" w:styleId="a5">
    <w:name w:val="Table Grid"/>
    <w:basedOn w:val="a1"/>
    <w:uiPriority w:val="59"/>
    <w:rsid w:val="001A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nhideWhenUsed/>
    <w:rsid w:val="001A7860"/>
    <w:pPr>
      <w:tabs>
        <w:tab w:val="center" w:pos="4677"/>
        <w:tab w:val="right" w:pos="9355"/>
      </w:tabs>
    </w:pPr>
  </w:style>
  <w:style w:type="character" w:customStyle="1" w:styleId="a7">
    <w:name w:val="Верхний колонтитул Знак"/>
    <w:basedOn w:val="a0"/>
    <w:link w:val="a6"/>
    <w:rsid w:val="001A7860"/>
    <w:rPr>
      <w:rFonts w:ascii="Times New Roman" w:eastAsia="Times New Roman" w:hAnsi="Times New Roman" w:cs="Times New Roman"/>
      <w:sz w:val="24"/>
      <w:szCs w:val="24"/>
      <w:lang w:eastAsia="ru-RU"/>
    </w:rPr>
  </w:style>
  <w:style w:type="paragraph" w:customStyle="1" w:styleId="14">
    <w:name w:val="Обычный+14п"/>
    <w:basedOn w:val="a8"/>
    <w:uiPriority w:val="99"/>
    <w:rsid w:val="002943B6"/>
    <w:pPr>
      <w:spacing w:line="360" w:lineRule="auto"/>
      <w:ind w:firstLine="709"/>
      <w:jc w:val="both"/>
      <w:outlineLvl w:val="0"/>
    </w:pPr>
    <w:rPr>
      <w:bCs/>
      <w:kern w:val="36"/>
    </w:rPr>
  </w:style>
  <w:style w:type="character" w:styleId="a9">
    <w:name w:val="Strong"/>
    <w:basedOn w:val="a0"/>
    <w:uiPriority w:val="22"/>
    <w:qFormat/>
    <w:rsid w:val="002943B6"/>
    <w:rPr>
      <w:rFonts w:cs="Times New Roman"/>
      <w:b/>
      <w:bCs/>
    </w:rPr>
  </w:style>
  <w:style w:type="paragraph" w:styleId="a8">
    <w:name w:val="Body Text"/>
    <w:basedOn w:val="a"/>
    <w:link w:val="aa"/>
    <w:uiPriority w:val="99"/>
    <w:semiHidden/>
    <w:unhideWhenUsed/>
    <w:rsid w:val="002943B6"/>
    <w:pPr>
      <w:spacing w:after="120"/>
    </w:pPr>
  </w:style>
  <w:style w:type="character" w:customStyle="1" w:styleId="aa">
    <w:name w:val="Основной текст Знак"/>
    <w:basedOn w:val="a0"/>
    <w:link w:val="a8"/>
    <w:uiPriority w:val="99"/>
    <w:semiHidden/>
    <w:rsid w:val="002943B6"/>
    <w:rPr>
      <w:rFonts w:ascii="Times New Roman" w:eastAsia="Times New Roman" w:hAnsi="Times New Roman" w:cs="Times New Roman"/>
      <w:sz w:val="24"/>
      <w:szCs w:val="24"/>
      <w:lang w:eastAsia="ru-RU"/>
    </w:rPr>
  </w:style>
  <w:style w:type="paragraph" w:styleId="ab">
    <w:name w:val="Normal (Web)"/>
    <w:basedOn w:val="a"/>
    <w:uiPriority w:val="99"/>
    <w:unhideWhenUsed/>
    <w:rsid w:val="006C5A02"/>
    <w:pPr>
      <w:spacing w:before="100" w:beforeAutospacing="1" w:after="100" w:afterAutospacing="1"/>
    </w:pPr>
    <w:rPr>
      <w:rFonts w:eastAsiaTheme="minorEastAsia"/>
    </w:rPr>
  </w:style>
  <w:style w:type="character" w:customStyle="1" w:styleId="10">
    <w:name w:val="Заголовок 1 Знак"/>
    <w:basedOn w:val="a0"/>
    <w:link w:val="1"/>
    <w:uiPriority w:val="9"/>
    <w:rsid w:val="00D801C5"/>
    <w:rPr>
      <w:rFonts w:asciiTheme="majorHAnsi" w:eastAsiaTheme="majorEastAsia" w:hAnsiTheme="majorHAnsi" w:cstheme="majorBidi"/>
      <w:color w:val="365F91" w:themeColor="accent1" w:themeShade="BF"/>
      <w:sz w:val="32"/>
      <w:szCs w:val="32"/>
    </w:rPr>
  </w:style>
  <w:style w:type="paragraph" w:customStyle="1" w:styleId="ConsPlusNormal">
    <w:name w:val="ConsPlusNormal"/>
    <w:qFormat/>
    <w:rsid w:val="00D801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9F0551"/>
    <w:rPr>
      <w:rFonts w:ascii="Tahoma" w:hAnsi="Tahoma" w:cs="Tahoma"/>
      <w:sz w:val="16"/>
      <w:szCs w:val="16"/>
    </w:rPr>
  </w:style>
  <w:style w:type="character" w:customStyle="1" w:styleId="ad">
    <w:name w:val="Текст выноски Знак"/>
    <w:basedOn w:val="a0"/>
    <w:link w:val="ac"/>
    <w:uiPriority w:val="99"/>
    <w:semiHidden/>
    <w:rsid w:val="009F0551"/>
    <w:rPr>
      <w:rFonts w:ascii="Tahoma" w:eastAsia="Times New Roman" w:hAnsi="Tahoma" w:cs="Tahoma"/>
      <w:sz w:val="16"/>
      <w:szCs w:val="16"/>
      <w:lang w:eastAsia="ru-RU"/>
    </w:rPr>
  </w:style>
  <w:style w:type="paragraph" w:styleId="ae">
    <w:name w:val="No Spacing"/>
    <w:link w:val="af"/>
    <w:uiPriority w:val="1"/>
    <w:qFormat/>
    <w:rsid w:val="00F94900"/>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1"/>
    <w:locked/>
    <w:rsid w:val="00F94900"/>
    <w:rPr>
      <w:rFonts w:ascii="Calibri" w:eastAsia="Times New Roman" w:hAnsi="Calibri" w:cs="Times New Roman"/>
      <w:lang w:eastAsia="ru-RU"/>
    </w:rPr>
  </w:style>
  <w:style w:type="paragraph" w:styleId="af0">
    <w:name w:val="Body Text Indent"/>
    <w:basedOn w:val="a"/>
    <w:link w:val="af1"/>
    <w:uiPriority w:val="99"/>
    <w:semiHidden/>
    <w:unhideWhenUsed/>
    <w:rsid w:val="00581880"/>
    <w:pPr>
      <w:spacing w:after="120"/>
      <w:ind w:left="283"/>
    </w:pPr>
  </w:style>
  <w:style w:type="character" w:customStyle="1" w:styleId="af1">
    <w:name w:val="Основной текст с отступом Знак"/>
    <w:basedOn w:val="a0"/>
    <w:link w:val="af0"/>
    <w:uiPriority w:val="99"/>
    <w:semiHidden/>
    <w:rsid w:val="00581880"/>
    <w:rPr>
      <w:rFonts w:ascii="Times New Roman" w:eastAsia="Times New Roman" w:hAnsi="Times New Roman" w:cs="Times New Roman"/>
      <w:sz w:val="24"/>
      <w:szCs w:val="24"/>
      <w:lang w:eastAsia="ru-RU"/>
    </w:rPr>
  </w:style>
  <w:style w:type="paragraph" w:styleId="af2">
    <w:name w:val="Subtitle"/>
    <w:basedOn w:val="a"/>
    <w:link w:val="af3"/>
    <w:qFormat/>
    <w:rsid w:val="00581880"/>
    <w:pPr>
      <w:spacing w:line="360" w:lineRule="auto"/>
    </w:pPr>
    <w:rPr>
      <w:szCs w:val="20"/>
    </w:rPr>
  </w:style>
  <w:style w:type="character" w:customStyle="1" w:styleId="af3">
    <w:name w:val="Подзаголовок Знак"/>
    <w:basedOn w:val="a0"/>
    <w:link w:val="af2"/>
    <w:rsid w:val="0058188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164">
      <w:bodyDiv w:val="1"/>
      <w:marLeft w:val="0"/>
      <w:marRight w:val="0"/>
      <w:marTop w:val="0"/>
      <w:marBottom w:val="0"/>
      <w:divBdr>
        <w:top w:val="none" w:sz="0" w:space="0" w:color="auto"/>
        <w:left w:val="none" w:sz="0" w:space="0" w:color="auto"/>
        <w:bottom w:val="none" w:sz="0" w:space="0" w:color="auto"/>
        <w:right w:val="none" w:sz="0" w:space="0" w:color="auto"/>
      </w:divBdr>
    </w:div>
    <w:div w:id="61830990">
      <w:bodyDiv w:val="1"/>
      <w:marLeft w:val="0"/>
      <w:marRight w:val="0"/>
      <w:marTop w:val="0"/>
      <w:marBottom w:val="0"/>
      <w:divBdr>
        <w:top w:val="none" w:sz="0" w:space="0" w:color="auto"/>
        <w:left w:val="none" w:sz="0" w:space="0" w:color="auto"/>
        <w:bottom w:val="none" w:sz="0" w:space="0" w:color="auto"/>
        <w:right w:val="none" w:sz="0" w:space="0" w:color="auto"/>
      </w:divBdr>
    </w:div>
    <w:div w:id="247160118">
      <w:bodyDiv w:val="1"/>
      <w:marLeft w:val="0"/>
      <w:marRight w:val="0"/>
      <w:marTop w:val="0"/>
      <w:marBottom w:val="0"/>
      <w:divBdr>
        <w:top w:val="none" w:sz="0" w:space="0" w:color="auto"/>
        <w:left w:val="none" w:sz="0" w:space="0" w:color="auto"/>
        <w:bottom w:val="none" w:sz="0" w:space="0" w:color="auto"/>
        <w:right w:val="none" w:sz="0" w:space="0" w:color="auto"/>
      </w:divBdr>
    </w:div>
    <w:div w:id="346449029">
      <w:bodyDiv w:val="1"/>
      <w:marLeft w:val="0"/>
      <w:marRight w:val="0"/>
      <w:marTop w:val="0"/>
      <w:marBottom w:val="0"/>
      <w:divBdr>
        <w:top w:val="none" w:sz="0" w:space="0" w:color="auto"/>
        <w:left w:val="none" w:sz="0" w:space="0" w:color="auto"/>
        <w:bottom w:val="none" w:sz="0" w:space="0" w:color="auto"/>
        <w:right w:val="none" w:sz="0" w:space="0" w:color="auto"/>
      </w:divBdr>
    </w:div>
    <w:div w:id="1412661236">
      <w:bodyDiv w:val="1"/>
      <w:marLeft w:val="0"/>
      <w:marRight w:val="0"/>
      <w:marTop w:val="0"/>
      <w:marBottom w:val="0"/>
      <w:divBdr>
        <w:top w:val="none" w:sz="0" w:space="0" w:color="auto"/>
        <w:left w:val="none" w:sz="0" w:space="0" w:color="auto"/>
        <w:bottom w:val="none" w:sz="0" w:space="0" w:color="auto"/>
        <w:right w:val="none" w:sz="0" w:space="0" w:color="auto"/>
      </w:divBdr>
      <w:divsChild>
        <w:div w:id="150222866">
          <w:marLeft w:val="0"/>
          <w:marRight w:val="0"/>
          <w:marTop w:val="0"/>
          <w:marBottom w:val="0"/>
          <w:divBdr>
            <w:top w:val="none" w:sz="0" w:space="0" w:color="auto"/>
            <w:left w:val="none" w:sz="0" w:space="0" w:color="auto"/>
            <w:bottom w:val="none" w:sz="0" w:space="0" w:color="auto"/>
            <w:right w:val="none" w:sz="0" w:space="0" w:color="auto"/>
          </w:divBdr>
        </w:div>
        <w:div w:id="621692031">
          <w:marLeft w:val="0"/>
          <w:marRight w:val="0"/>
          <w:marTop w:val="0"/>
          <w:marBottom w:val="0"/>
          <w:divBdr>
            <w:top w:val="none" w:sz="0" w:space="0" w:color="auto"/>
            <w:left w:val="none" w:sz="0" w:space="0" w:color="auto"/>
            <w:bottom w:val="none" w:sz="0" w:space="0" w:color="auto"/>
            <w:right w:val="none" w:sz="0" w:space="0" w:color="auto"/>
          </w:divBdr>
        </w:div>
        <w:div w:id="1567837323">
          <w:marLeft w:val="0"/>
          <w:marRight w:val="0"/>
          <w:marTop w:val="0"/>
          <w:marBottom w:val="0"/>
          <w:divBdr>
            <w:top w:val="none" w:sz="0" w:space="0" w:color="auto"/>
            <w:left w:val="none" w:sz="0" w:space="0" w:color="auto"/>
            <w:bottom w:val="none" w:sz="0" w:space="0" w:color="auto"/>
            <w:right w:val="none" w:sz="0" w:space="0" w:color="auto"/>
          </w:divBdr>
        </w:div>
        <w:div w:id="24557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C7E0-60C5-4312-920B-DBC5B08E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ZarbalievaEM</dc:creator>
  <cp:lastModifiedBy>Александрова Ирина Юрьевна</cp:lastModifiedBy>
  <cp:revision>46</cp:revision>
  <cp:lastPrinted>2017-09-01T05:34:00Z</cp:lastPrinted>
  <dcterms:created xsi:type="dcterms:W3CDTF">2019-08-20T10:29:00Z</dcterms:created>
  <dcterms:modified xsi:type="dcterms:W3CDTF">2019-09-03T09:53:00Z</dcterms:modified>
</cp:coreProperties>
</file>